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A30" w:rsidRDefault="00D40A30" w:rsidP="00D40A30">
      <w:pPr>
        <w:pStyle w:val="1"/>
      </w:pPr>
      <w:r>
        <w:rPr>
          <w:rStyle w:val="a4"/>
          <w:b w:val="0"/>
          <w:bCs w:val="0"/>
        </w:rPr>
        <w:t>Application of Blockchain-Based Smart Contracts for Green Economy, Sustainable Business Models, and Digital Economy in Agricultural Development</w:t>
      </w:r>
    </w:p>
    <w:p w:rsidR="00D40A30" w:rsidRDefault="00D40A30" w:rsidP="00D40A30">
      <w:pPr>
        <w:pStyle w:val="a3"/>
      </w:pPr>
      <w:r>
        <w:rPr>
          <w:rStyle w:val="a4"/>
        </w:rPr>
        <w:t>Authors:</w:t>
      </w:r>
      <w:r>
        <w:br/>
        <w:t>Dr. Vo Dinh Tung, Lecturer, HUTECH Institute of Engineering, UNIVERSITY OF TECHNOLOGY (HUTECH)</w:t>
      </w:r>
      <w:r>
        <w:br/>
        <w:t>Mr. Kim Do Kyong, Vice President, KEHWA</w:t>
      </w:r>
    </w:p>
    <w:p w:rsidR="00D40A30" w:rsidRDefault="00D40A30" w:rsidP="00D40A30">
      <w:pPr>
        <w:pStyle w:val="a3"/>
      </w:pPr>
      <w:r>
        <w:rPr>
          <w:rStyle w:val="a4"/>
        </w:rPr>
        <w:t>Contact:</w:t>
      </w:r>
      <w:r>
        <w:br/>
        <w:t>Vo Dinh Tung – 0908229309 – vd.tung@hutech.edu.vn</w:t>
      </w:r>
    </w:p>
    <w:p w:rsidR="00D40A30" w:rsidRDefault="00D40A30" w:rsidP="00D40A30">
      <w:pPr>
        <w:pStyle w:val="a3"/>
      </w:pPr>
      <w:r>
        <w:rPr>
          <w:rStyle w:val="a4"/>
        </w:rPr>
        <w:t>Theme:</w:t>
      </w:r>
      <w:r>
        <w:t xml:space="preserve"> Business Subcommittee</w:t>
      </w:r>
      <w:r>
        <w:br/>
      </w:r>
      <w:r>
        <w:rPr>
          <w:rStyle w:val="a4"/>
        </w:rPr>
        <w:t>Presentation format:</w:t>
      </w:r>
      <w:r>
        <w:t xml:space="preserve"> Oral presentation</w:t>
      </w:r>
    </w:p>
    <w:p w:rsidR="00D40A30" w:rsidRDefault="00D40A30" w:rsidP="00D40A30">
      <w:r>
        <w:pict>
          <v:rect id="_x0000_i1035" style="width:0;height:1.5pt" o:hralign="center" o:hrstd="t" o:hr="t" fillcolor="#a0a0a0" stroked="f"/>
        </w:pict>
      </w:r>
    </w:p>
    <w:p w:rsidR="00D40A30" w:rsidRDefault="00D40A30" w:rsidP="00D40A30">
      <w:pPr>
        <w:pStyle w:val="1"/>
      </w:pPr>
      <w:r>
        <w:rPr>
          <w:rStyle w:val="a4"/>
          <w:b w:val="0"/>
          <w:bCs w:val="0"/>
        </w:rPr>
        <w:t xml:space="preserve">Abstract </w:t>
      </w:r>
    </w:p>
    <w:p w:rsidR="00D40A30" w:rsidRDefault="00D40A30" w:rsidP="00D40A30">
      <w:pPr>
        <w:pStyle w:val="a3"/>
      </w:pPr>
      <w:r>
        <w:t xml:space="preserve">In the transition toward a green economy and digital agriculture, blockchain-based smart contracts provide a foundation for transparent, automated, and equitable value distribution across agricultural value chains. This study expands the original framework by placing </w:t>
      </w:r>
      <w:r>
        <w:rPr>
          <w:rStyle w:val="a4"/>
        </w:rPr>
        <w:t>blockchain smart contracts as the central coordinating mechanism</w:t>
      </w:r>
      <w:r>
        <w:t xml:space="preserve"> that integrates TerraChar-enabled regenerative agriculture, Smart Open-field Farming technologies, AI-driven Big Data analytics, and full-value-chain traceability in the coffee sector.</w:t>
      </w:r>
    </w:p>
    <w:p w:rsidR="00D40A30" w:rsidRDefault="00D40A30" w:rsidP="00D40A30">
      <w:pPr>
        <w:pStyle w:val="a3"/>
      </w:pPr>
      <w:r>
        <w:t xml:space="preserve">TerraChar—produced through the pyrolysis of agricultural residues—improves soil health, stabilizes pH, enhances nutrient efficiency, and sequesters measurable volumes of carbon. These agronomic and environmental improvements generate </w:t>
      </w:r>
      <w:r>
        <w:rPr>
          <w:rStyle w:val="a4"/>
        </w:rPr>
        <w:t>high-integrity, verifiable big data</w:t>
      </w:r>
      <w:r>
        <w:t xml:space="preserve"> at the production stage. When recorded on a blockchain, these data become tamper-proof digital assets that drive automated calculations of cost savings, carbon credit issuance, productivity gains, and ESG performance.</w:t>
      </w:r>
    </w:p>
    <w:p w:rsidR="00D40A30" w:rsidRDefault="00D40A30" w:rsidP="00D40A30">
      <w:pPr>
        <w:pStyle w:val="a3"/>
      </w:pPr>
      <w:r>
        <w:t xml:space="preserve">By structuring coffee production, processing, distribution, and consumption as a continuous blockchain data flow, the proposed system ensures </w:t>
      </w:r>
      <w:r>
        <w:rPr>
          <w:rStyle w:val="a4"/>
        </w:rPr>
        <w:t>transparent tracking of inputs, outputs, quality attributes, logistics conditions, and carbon impacts</w:t>
      </w:r>
      <w:r>
        <w:t>. Smart contracts use these verified data to automatically compute and distribute revenues—including carbon income, quality premiums, and verified sustainability incentives—to farmers, processors, logistics operators, exporters, and consumers. This eliminates information asymmetry, fraud, and manual intervention while enabling fair and algorithm-driven value sharing.</w:t>
      </w:r>
    </w:p>
    <w:p w:rsidR="00D40A30" w:rsidRDefault="00D40A30" w:rsidP="00D40A30">
      <w:pPr>
        <w:pStyle w:val="a3"/>
      </w:pPr>
      <w:r>
        <w:t xml:space="preserve">Through this model, the coffee sector evolves into a </w:t>
      </w:r>
      <w:r>
        <w:rPr>
          <w:rStyle w:val="a4"/>
        </w:rPr>
        <w:t>digitally governed, economically transparent ecosystem</w:t>
      </w:r>
      <w:r>
        <w:t xml:space="preserve"> where sustainability outcomes—including carbon sequestration and reduced input use—are directly monetized. The approach strengthens sustainable business models, increases farmer income, enhances market access for ESG-conscious consumers, and establishes a scalable template for ASEAN agricultural digital transformation. Ultimately, blockchain-based smart contracts emerge not merely as digital tools but as </w:t>
      </w:r>
      <w:r>
        <w:rPr>
          <w:rStyle w:val="a4"/>
        </w:rPr>
        <w:t>economic infrastructure</w:t>
      </w:r>
      <w:r>
        <w:t xml:space="preserve"> enabling a resilient, inclusive, and data-driven agricultural future.</w:t>
      </w:r>
    </w:p>
    <w:p w:rsidR="00D40A30" w:rsidRDefault="00D40A30" w:rsidP="00D40A30">
      <w:r>
        <w:lastRenderedPageBreak/>
        <w:pict>
          <v:rect id="_x0000_i1036" style="width:0;height:1.5pt" o:hralign="center" o:hrstd="t" o:hr="t" fillcolor="#a0a0a0" stroked="f"/>
        </w:pict>
      </w:r>
    </w:p>
    <w:p w:rsidR="00D40A30" w:rsidRDefault="00D40A30" w:rsidP="00D40A30">
      <w:pPr>
        <w:pStyle w:val="1"/>
      </w:pPr>
      <w:r>
        <w:rPr>
          <w:rStyle w:val="a4"/>
          <w:b w:val="0"/>
          <w:bCs w:val="0"/>
        </w:rPr>
        <w:t>Keywords (Revised)</w:t>
      </w:r>
    </w:p>
    <w:p w:rsidR="00D40A30" w:rsidRDefault="00D40A30" w:rsidP="00D40A30">
      <w:pPr>
        <w:pStyle w:val="a3"/>
      </w:pPr>
      <w:r>
        <w:t>Blockchain; Smart Contracts; Digital Agriculture; Green Economy; Sustainable Business Model; Coffee Value Chain; TerraChar; Big Data; Carbon Credits; Supply Chain Transparency.</w:t>
      </w:r>
    </w:p>
    <w:p w:rsidR="00D40A30" w:rsidRDefault="00D40A30" w:rsidP="00D40A30">
      <w:r>
        <w:pict>
          <v:rect id="_x0000_i1037" style="width:0;height:1.5pt" o:hralign="center" o:hrstd="t" o:hr="t" fillcolor="#a0a0a0" stroked="f"/>
        </w:pict>
      </w:r>
    </w:p>
    <w:p w:rsidR="00D40A30" w:rsidRPr="00D40A30" w:rsidRDefault="00D40A30" w:rsidP="00D40A30">
      <w:pPr>
        <w:pStyle w:val="2"/>
        <w:rPr>
          <w:rFonts w:eastAsiaTheme="minorEastAsia" w:hint="eastAsia"/>
        </w:rPr>
      </w:pPr>
    </w:p>
    <w:p w:rsidR="00317FB6" w:rsidRDefault="00317FB6">
      <w:pPr>
        <w:rPr>
          <w:szCs w:val="24"/>
        </w:rPr>
      </w:pPr>
      <w:r>
        <w:rPr>
          <w:szCs w:val="24"/>
        </w:rPr>
        <w:br w:type="page"/>
      </w:r>
    </w:p>
    <w:p w:rsidR="00D40A30" w:rsidRDefault="00D40A30" w:rsidP="00D40A30">
      <w:pPr>
        <w:pStyle w:val="1"/>
      </w:pPr>
      <w:r>
        <w:lastRenderedPageBreak/>
        <w:t>Application of Blockchain-Based Smart Contracts for Green Economy, Sustainable Business Models, and Digital Economy in Agricultural Development:</w:t>
      </w:r>
    </w:p>
    <w:p w:rsidR="00D40A30" w:rsidRDefault="00D40A30" w:rsidP="00D40A30">
      <w:pPr>
        <w:pStyle w:val="a3"/>
      </w:pPr>
      <w:r>
        <w:t>A Blockchain-Centric Framework for Transparent Cost and Revenue Distribution Across the Coffee Value Chain**</w:t>
      </w:r>
    </w:p>
    <w:p w:rsidR="00D40A30" w:rsidRDefault="00D40A30" w:rsidP="00D40A30">
      <w:r>
        <w:pict>
          <v:rect id="_x0000_i1025" style="width:0;height:1.5pt" o:hralign="center" o:hrstd="t" o:hr="t" fillcolor="#a0a0a0" stroked="f"/>
        </w:pict>
      </w:r>
    </w:p>
    <w:p w:rsidR="00D40A30" w:rsidRDefault="00D40A30" w:rsidP="00D40A30">
      <w:pPr>
        <w:pStyle w:val="1"/>
      </w:pPr>
      <w:r>
        <w:rPr>
          <w:rStyle w:val="a4"/>
          <w:b w:val="0"/>
          <w:bCs w:val="0"/>
        </w:rPr>
        <w:t>Abstract</w:t>
      </w:r>
    </w:p>
    <w:p w:rsidR="00D40A30" w:rsidRDefault="00D40A30" w:rsidP="00D40A30">
      <w:pPr>
        <w:pStyle w:val="a3"/>
      </w:pPr>
      <w:r>
        <w:t xml:space="preserve">This study develops a blockchain-centered smart contract framework that integrates TerraChar-based regenerative agriculture, Smart Open-field Farming, AI-driven Big Data analytics, and full value-chain traceability to create a </w:t>
      </w:r>
      <w:r>
        <w:rPr>
          <w:rStyle w:val="a4"/>
        </w:rPr>
        <w:t>transparent and automated economic system</w:t>
      </w:r>
      <w:r>
        <w:t xml:space="preserve"> for the agricultural sector. Using the coffee value chain as a representative model, the research demonstrates how blockchain smart contracts convert farm-level environmental and production data into verifiable economic assets—including cost savings, productivity gains, ESG value, and carbon credits.</w:t>
      </w:r>
    </w:p>
    <w:p w:rsidR="00D40A30" w:rsidRDefault="00D40A30" w:rsidP="00D40A30">
      <w:pPr>
        <w:pStyle w:val="a3"/>
      </w:pPr>
      <w:r>
        <w:t>TerraChar (biochar), applied at the production stage, generates high-integrity data on soil improvement, nutrient efficiency, carbon sequestration, and yield enhancement. These datasets form the foundation for transparent value-chain management on blockchain, enabling smart contracts to automatically compute and distribute costs and revenues among farmers, processors, distributors, exporters, and ESG-focused consumers. The proposed system eliminates information asymmetry, builds trust across stakeholders, and enables new green-economy revenue streams while strengthening sustainable business models and transitioning agriculture into the digital economy.</w:t>
      </w:r>
    </w:p>
    <w:p w:rsidR="00D40A30" w:rsidRDefault="00D40A30" w:rsidP="00D40A30">
      <w:r>
        <w:pict>
          <v:rect id="_x0000_i1026" style="width:0;height:1.5pt" o:hralign="center" o:hrstd="t" o:hr="t" fillcolor="#a0a0a0" stroked="f"/>
        </w:pict>
      </w:r>
    </w:p>
    <w:p w:rsidR="00D40A30" w:rsidRDefault="00D40A30" w:rsidP="00D40A30">
      <w:pPr>
        <w:pStyle w:val="1"/>
      </w:pPr>
      <w:r>
        <w:rPr>
          <w:rStyle w:val="a4"/>
          <w:b w:val="0"/>
          <w:bCs w:val="0"/>
        </w:rPr>
        <w:t>1. Introduction</w:t>
      </w:r>
    </w:p>
    <w:p w:rsidR="00D40A30" w:rsidRDefault="00D40A30" w:rsidP="00D40A30">
      <w:pPr>
        <w:pStyle w:val="2"/>
      </w:pPr>
      <w:r>
        <w:rPr>
          <w:rStyle w:val="a4"/>
          <w:b/>
          <w:bCs/>
        </w:rPr>
        <w:t>1.1 Background</w:t>
      </w:r>
    </w:p>
    <w:p w:rsidR="00D40A30" w:rsidRDefault="00D40A30" w:rsidP="00D40A30">
      <w:pPr>
        <w:pStyle w:val="a3"/>
      </w:pPr>
      <w:r>
        <w:t>Agriculture is transitioning toward green economy, sustainable business models, and digital transformation. However, conventional agricultural value chains face persistent structural issues:</w:t>
      </w:r>
    </w:p>
    <w:p w:rsidR="00D40A30" w:rsidRDefault="00D40A30" w:rsidP="00D40A30">
      <w:pPr>
        <w:pStyle w:val="a3"/>
        <w:numPr>
          <w:ilvl w:val="0"/>
          <w:numId w:val="25"/>
        </w:numPr>
      </w:pPr>
      <w:r>
        <w:t>Limited transparency in production, processing, and logistics</w:t>
      </w:r>
    </w:p>
    <w:p w:rsidR="00D40A30" w:rsidRDefault="00D40A30" w:rsidP="00D40A30">
      <w:pPr>
        <w:pStyle w:val="a3"/>
        <w:numPr>
          <w:ilvl w:val="0"/>
          <w:numId w:val="25"/>
        </w:numPr>
      </w:pPr>
      <w:r>
        <w:t>Lack of reliable environmental performance data</w:t>
      </w:r>
    </w:p>
    <w:p w:rsidR="00D40A30" w:rsidRDefault="00D40A30" w:rsidP="00D40A30">
      <w:pPr>
        <w:pStyle w:val="a3"/>
        <w:numPr>
          <w:ilvl w:val="0"/>
          <w:numId w:val="25"/>
        </w:numPr>
      </w:pPr>
      <w:r>
        <w:t>Inefficient and inequitable income distribution</w:t>
      </w:r>
    </w:p>
    <w:p w:rsidR="00D40A30" w:rsidRDefault="00D40A30" w:rsidP="00D40A30">
      <w:pPr>
        <w:pStyle w:val="a3"/>
        <w:numPr>
          <w:ilvl w:val="0"/>
          <w:numId w:val="25"/>
        </w:numPr>
      </w:pPr>
      <w:r>
        <w:t>No mechanism to monetize carbon reduction</w:t>
      </w:r>
    </w:p>
    <w:p w:rsidR="00D40A30" w:rsidRDefault="00D40A30" w:rsidP="00D40A30">
      <w:pPr>
        <w:pStyle w:val="a3"/>
        <w:numPr>
          <w:ilvl w:val="0"/>
          <w:numId w:val="25"/>
        </w:numPr>
      </w:pPr>
      <w:r>
        <w:t>Fragmented and incompatible data across actors</w:t>
      </w:r>
    </w:p>
    <w:p w:rsidR="00D40A30" w:rsidRDefault="00D40A30" w:rsidP="00D40A30">
      <w:pPr>
        <w:pStyle w:val="a3"/>
        <w:numPr>
          <w:ilvl w:val="0"/>
          <w:numId w:val="25"/>
        </w:numPr>
      </w:pPr>
      <w:r>
        <w:t>Limited participation of farmers in high-value ESG markets</w:t>
      </w:r>
    </w:p>
    <w:p w:rsidR="00D40A30" w:rsidRDefault="00D40A30" w:rsidP="00D40A30">
      <w:pPr>
        <w:pStyle w:val="a3"/>
      </w:pPr>
      <w:r>
        <w:t>A blockchain-centric digital infrastructure offers the foundation for resolving these challenges by automating verification, ensuring accountability, and enforcing equitable value distribution.</w:t>
      </w:r>
    </w:p>
    <w:p w:rsidR="00D40A30" w:rsidRDefault="00D40A30" w:rsidP="00D40A30">
      <w:pPr>
        <w:pStyle w:val="2"/>
      </w:pPr>
      <w:r>
        <w:rPr>
          <w:rStyle w:val="a4"/>
          <w:b/>
          <w:bCs/>
        </w:rPr>
        <w:t>1.2 Purpose of the Study</w:t>
      </w:r>
    </w:p>
    <w:p w:rsidR="00D40A30" w:rsidRDefault="00D40A30" w:rsidP="00D40A30">
      <w:pPr>
        <w:pStyle w:val="a3"/>
      </w:pPr>
      <w:r>
        <w:lastRenderedPageBreak/>
        <w:t>This research aims to:</w:t>
      </w:r>
    </w:p>
    <w:p w:rsidR="00D40A30" w:rsidRDefault="00D40A30" w:rsidP="00D40A30">
      <w:pPr>
        <w:pStyle w:val="a3"/>
        <w:numPr>
          <w:ilvl w:val="0"/>
          <w:numId w:val="26"/>
        </w:numPr>
      </w:pPr>
      <w:r>
        <w:t>Apply blockchain-based smart contracts to the complete agricultural value chain</w:t>
      </w:r>
    </w:p>
    <w:p w:rsidR="00D40A30" w:rsidRDefault="00D40A30" w:rsidP="00D40A30">
      <w:pPr>
        <w:pStyle w:val="a3"/>
        <w:numPr>
          <w:ilvl w:val="0"/>
          <w:numId w:val="26"/>
        </w:numPr>
      </w:pPr>
      <w:r>
        <w:t>Transform TerraChar-generated agricultural and environmental data into blockchain-secured assets</w:t>
      </w:r>
    </w:p>
    <w:p w:rsidR="00D40A30" w:rsidRDefault="00D40A30" w:rsidP="00D40A30">
      <w:pPr>
        <w:pStyle w:val="a3"/>
        <w:numPr>
          <w:ilvl w:val="0"/>
          <w:numId w:val="26"/>
        </w:numPr>
      </w:pPr>
      <w:r>
        <w:t>Use Smart Open-field Farming and AI to quantify production and sustainability metrics</w:t>
      </w:r>
    </w:p>
    <w:p w:rsidR="00D40A30" w:rsidRDefault="00D40A30" w:rsidP="00D40A30">
      <w:pPr>
        <w:pStyle w:val="a3"/>
        <w:numPr>
          <w:ilvl w:val="0"/>
          <w:numId w:val="26"/>
        </w:numPr>
      </w:pPr>
      <w:r>
        <w:t>Create a transparent mechanism for economic calculations and revenue distribution</w:t>
      </w:r>
    </w:p>
    <w:p w:rsidR="00D40A30" w:rsidRDefault="00D40A30" w:rsidP="00D40A30">
      <w:pPr>
        <w:pStyle w:val="a3"/>
        <w:numPr>
          <w:ilvl w:val="0"/>
          <w:numId w:val="26"/>
        </w:numPr>
      </w:pPr>
      <w:r>
        <w:t>Establish a model that supports green economy, sustainable business, and digital agricultural markets</w:t>
      </w:r>
    </w:p>
    <w:p w:rsidR="00D40A30" w:rsidRDefault="00D40A30" w:rsidP="00D40A30">
      <w:pPr>
        <w:pStyle w:val="2"/>
      </w:pPr>
      <w:r>
        <w:rPr>
          <w:rStyle w:val="a4"/>
          <w:b/>
          <w:bCs/>
        </w:rPr>
        <w:t>1.3 Scope</w:t>
      </w:r>
    </w:p>
    <w:p w:rsidR="00D40A30" w:rsidRDefault="00D40A30" w:rsidP="00D40A30">
      <w:pPr>
        <w:pStyle w:val="a3"/>
      </w:pPr>
      <w:r>
        <w:t>The research focuses on the coffee value chain—production, processing, distribution, and consumption—as a demonstrative model with high scalability across ASEAN agriculture.</w:t>
      </w:r>
    </w:p>
    <w:p w:rsidR="00D40A30" w:rsidRDefault="00D40A30" w:rsidP="00D40A30">
      <w:r>
        <w:pict>
          <v:rect id="_x0000_i1027" style="width:0;height:1.5pt" o:hralign="center" o:hrstd="t" o:hr="t" fillcolor="#a0a0a0" stroked="f"/>
        </w:pict>
      </w:r>
    </w:p>
    <w:p w:rsidR="00D40A30" w:rsidRDefault="00D40A30" w:rsidP="00D40A30">
      <w:pPr>
        <w:pStyle w:val="1"/>
      </w:pPr>
      <w:r>
        <w:rPr>
          <w:rStyle w:val="a4"/>
          <w:b w:val="0"/>
          <w:bCs w:val="0"/>
        </w:rPr>
        <w:t>2. TerraChar as the Foundation of Trusted Agricultural Big Data</w:t>
      </w:r>
    </w:p>
    <w:p w:rsidR="00D40A30" w:rsidRDefault="00D40A30" w:rsidP="00D40A30">
      <w:pPr>
        <w:pStyle w:val="a3"/>
      </w:pPr>
      <w:r>
        <w:t>TerraChar application in coffee farms yields quantifiable agronomic and environmental improvements. These effects create a high-integrity dataset suitable for blockchain verification.</w:t>
      </w:r>
    </w:p>
    <w:p w:rsidR="00D40A30" w:rsidRDefault="00D40A30" w:rsidP="00D40A30">
      <w:pPr>
        <w:pStyle w:val="3"/>
      </w:pPr>
      <w:r>
        <w:rPr>
          <w:rStyle w:val="a4"/>
          <w:b/>
          <w:bCs/>
        </w:rPr>
        <w:t>2.1 Soil Economy and pH Stabilization</w:t>
      </w:r>
    </w:p>
    <w:p w:rsidR="00D40A30" w:rsidRDefault="00D40A30" w:rsidP="00D40A30">
      <w:pPr>
        <w:pStyle w:val="a3"/>
      </w:pPr>
      <w:r>
        <w:t>Drawing from soil-economy theory:</w:t>
      </w:r>
    </w:p>
    <w:p w:rsidR="00D40A30" w:rsidRDefault="00D40A30" w:rsidP="00D40A30">
      <w:pPr>
        <w:pStyle w:val="a3"/>
        <w:numPr>
          <w:ilvl w:val="0"/>
          <w:numId w:val="27"/>
        </w:numPr>
      </w:pPr>
      <w:r>
        <w:t>H⁺ = currency</w:t>
      </w:r>
    </w:p>
    <w:p w:rsidR="00D40A30" w:rsidRDefault="00D40A30" w:rsidP="00D40A30">
      <w:pPr>
        <w:pStyle w:val="a3"/>
        <w:numPr>
          <w:ilvl w:val="0"/>
          <w:numId w:val="27"/>
        </w:numPr>
      </w:pPr>
      <w:r>
        <w:t>Nutrients = goods</w:t>
      </w:r>
    </w:p>
    <w:p w:rsidR="00D40A30" w:rsidRDefault="00D40A30" w:rsidP="00D40A30">
      <w:pPr>
        <w:pStyle w:val="a3"/>
        <w:numPr>
          <w:ilvl w:val="0"/>
          <w:numId w:val="27"/>
        </w:numPr>
      </w:pPr>
      <w:r>
        <w:t>pH = exchange rate</w:t>
      </w:r>
    </w:p>
    <w:p w:rsidR="00D40A30" w:rsidRDefault="00D40A30" w:rsidP="00D40A30">
      <w:pPr>
        <w:pStyle w:val="a3"/>
        <w:numPr>
          <w:ilvl w:val="0"/>
          <w:numId w:val="27"/>
        </w:numPr>
      </w:pPr>
      <w:r>
        <w:t>Acidic soils behave like hyperinflationary economies</w:t>
      </w:r>
    </w:p>
    <w:p w:rsidR="00D40A30" w:rsidRDefault="00D40A30" w:rsidP="00D40A30">
      <w:pPr>
        <w:pStyle w:val="a3"/>
      </w:pPr>
      <w:r>
        <w:t xml:space="preserve">TerraChar functions like a </w:t>
      </w:r>
      <w:r>
        <w:rPr>
          <w:rStyle w:val="a4"/>
        </w:rPr>
        <w:t>soil central bank</w:t>
      </w:r>
      <w:r>
        <w:t>, absorbing excess H⁺ (currency stabilization), storing nutrients (reserve asset), and increasing Total Factor Productivity (TFP).</w:t>
      </w:r>
    </w:p>
    <w:p w:rsidR="00D40A30" w:rsidRDefault="00D40A30" w:rsidP="00D40A30">
      <w:pPr>
        <w:pStyle w:val="3"/>
      </w:pPr>
      <w:r>
        <w:rPr>
          <w:rStyle w:val="a4"/>
          <w:b/>
          <w:bCs/>
        </w:rPr>
        <w:t>2.2 Measurable Input Reduction</w:t>
      </w:r>
    </w:p>
    <w:p w:rsidR="00D40A30" w:rsidRDefault="00D40A30" w:rsidP="00D40A30">
      <w:pPr>
        <w:pStyle w:val="a3"/>
        <w:numPr>
          <w:ilvl w:val="0"/>
          <w:numId w:val="28"/>
        </w:numPr>
      </w:pPr>
      <w:r>
        <w:t>20–30% fertilizer savings</w:t>
      </w:r>
    </w:p>
    <w:p w:rsidR="00D40A30" w:rsidRDefault="00D40A30" w:rsidP="00D40A30">
      <w:pPr>
        <w:pStyle w:val="a3"/>
        <w:numPr>
          <w:ilvl w:val="0"/>
          <w:numId w:val="28"/>
        </w:numPr>
      </w:pPr>
      <w:r>
        <w:t>15–25% water and energy savings</w:t>
      </w:r>
    </w:p>
    <w:p w:rsidR="00D40A30" w:rsidRDefault="00D40A30" w:rsidP="00D40A30">
      <w:pPr>
        <w:pStyle w:val="3"/>
      </w:pPr>
      <w:r>
        <w:rPr>
          <w:rStyle w:val="a4"/>
          <w:b/>
          <w:bCs/>
        </w:rPr>
        <w:t>2.3 Yield and Quality Enhancement</w:t>
      </w:r>
    </w:p>
    <w:p w:rsidR="00D40A30" w:rsidRDefault="00D40A30" w:rsidP="00D40A30">
      <w:pPr>
        <w:pStyle w:val="a3"/>
        <w:numPr>
          <w:ilvl w:val="0"/>
          <w:numId w:val="29"/>
        </w:numPr>
      </w:pPr>
      <w:r>
        <w:t>10–20% yield increase</w:t>
      </w:r>
    </w:p>
    <w:p w:rsidR="00D40A30" w:rsidRDefault="00D40A30" w:rsidP="00D40A30">
      <w:pPr>
        <w:pStyle w:val="a3"/>
        <w:numPr>
          <w:ilvl w:val="0"/>
          <w:numId w:val="29"/>
        </w:numPr>
      </w:pPr>
      <w:r>
        <w:t>Enhanced SCA cupping scores</w:t>
      </w:r>
    </w:p>
    <w:p w:rsidR="00D40A30" w:rsidRDefault="00D40A30" w:rsidP="00D40A30">
      <w:pPr>
        <w:pStyle w:val="3"/>
      </w:pPr>
      <w:r>
        <w:rPr>
          <w:rStyle w:val="a4"/>
          <w:b/>
          <w:bCs/>
        </w:rPr>
        <w:t>2.4 Carbon Sequestration</w:t>
      </w:r>
    </w:p>
    <w:p w:rsidR="00D40A30" w:rsidRDefault="00D40A30" w:rsidP="00D40A30">
      <w:pPr>
        <w:pStyle w:val="a3"/>
        <w:numPr>
          <w:ilvl w:val="0"/>
          <w:numId w:val="30"/>
        </w:numPr>
      </w:pPr>
      <w:r>
        <w:t>2.0–2.5 tCO₂eq/ha annually</w:t>
      </w:r>
    </w:p>
    <w:p w:rsidR="00D40A30" w:rsidRDefault="00D40A30" w:rsidP="00D40A30">
      <w:pPr>
        <w:pStyle w:val="a3"/>
        <w:numPr>
          <w:ilvl w:val="0"/>
          <w:numId w:val="30"/>
        </w:numPr>
      </w:pPr>
      <w:r>
        <w:t>Direct eligibility for carbon credit issuance</w:t>
      </w:r>
    </w:p>
    <w:p w:rsidR="00D40A30" w:rsidRDefault="00D40A30" w:rsidP="00D40A30">
      <w:pPr>
        <w:pStyle w:val="a3"/>
      </w:pPr>
      <w:r>
        <w:rPr>
          <w:rFonts w:ascii="MS Mincho" w:eastAsia="MS Mincho" w:hAnsi="MS Mincho" w:cs="MS Mincho" w:hint="eastAsia"/>
        </w:rPr>
        <w:t>➡</w:t>
      </w:r>
      <w:r>
        <w:t xml:space="preserve"> These datasets become </w:t>
      </w:r>
      <w:r>
        <w:rPr>
          <w:rStyle w:val="a4"/>
        </w:rPr>
        <w:t>tamper-proof blockchain entries</w:t>
      </w:r>
      <w:r>
        <w:t xml:space="preserve"> used by smart contracts.</w:t>
      </w:r>
    </w:p>
    <w:p w:rsidR="00D40A30" w:rsidRDefault="00D40A30" w:rsidP="00D40A30">
      <w:r>
        <w:lastRenderedPageBreak/>
        <w:pict>
          <v:rect id="_x0000_i1028" style="width:0;height:1.5pt" o:hralign="center" o:hrstd="t" o:hr="t" fillcolor="#a0a0a0" stroked="f"/>
        </w:pict>
      </w:r>
    </w:p>
    <w:p w:rsidR="00D40A30" w:rsidRDefault="00D40A30" w:rsidP="00D40A30">
      <w:pPr>
        <w:pStyle w:val="1"/>
      </w:pPr>
      <w:r>
        <w:rPr>
          <w:rStyle w:val="a4"/>
          <w:b w:val="0"/>
          <w:bCs w:val="0"/>
        </w:rPr>
        <w:t>3. Blockchain-Based Coffee Value Chain Architecture</w:t>
      </w:r>
    </w:p>
    <w:p w:rsidR="00D40A30" w:rsidRDefault="00D40A30" w:rsidP="00D40A30">
      <w:pPr>
        <w:pStyle w:val="a3"/>
      </w:pPr>
      <w:r>
        <w:t xml:space="preserve">The value chain is redesigned into </w:t>
      </w:r>
      <w:r>
        <w:rPr>
          <w:rStyle w:val="a4"/>
        </w:rPr>
        <w:t>four blockchain-verified stages</w:t>
      </w:r>
      <w:r>
        <w:t>:</w:t>
      </w:r>
    </w:p>
    <w:p w:rsidR="00D40A30" w:rsidRDefault="00D40A30" w:rsidP="00D40A30">
      <w:pPr>
        <w:pStyle w:val="2"/>
      </w:pPr>
      <w:r>
        <w:rPr>
          <w:rStyle w:val="a4"/>
          <w:b/>
          <w:bCs/>
        </w:rPr>
        <w:t>3.1 Production Stage</w:t>
      </w:r>
    </w:p>
    <w:p w:rsidR="00D40A30" w:rsidRDefault="00D40A30" w:rsidP="00D40A30">
      <w:pPr>
        <w:pStyle w:val="a3"/>
      </w:pPr>
      <w:r>
        <w:t>Recorded on-chain:</w:t>
      </w:r>
    </w:p>
    <w:p w:rsidR="00D40A30" w:rsidRDefault="00D40A30" w:rsidP="00D40A30">
      <w:pPr>
        <w:pStyle w:val="a3"/>
        <w:numPr>
          <w:ilvl w:val="0"/>
          <w:numId w:val="31"/>
        </w:numPr>
      </w:pPr>
      <w:r>
        <w:t>TerraChar application</w:t>
      </w:r>
    </w:p>
    <w:p w:rsidR="00D40A30" w:rsidRDefault="00D40A30" w:rsidP="00D40A30">
      <w:pPr>
        <w:pStyle w:val="a3"/>
        <w:numPr>
          <w:ilvl w:val="0"/>
          <w:numId w:val="31"/>
        </w:numPr>
      </w:pPr>
      <w:r>
        <w:t>Soil sensor data (pH, EC, moisture)</w:t>
      </w:r>
    </w:p>
    <w:p w:rsidR="00D40A30" w:rsidRDefault="00D40A30" w:rsidP="00D40A30">
      <w:pPr>
        <w:pStyle w:val="a3"/>
        <w:numPr>
          <w:ilvl w:val="0"/>
          <w:numId w:val="31"/>
        </w:numPr>
      </w:pPr>
      <w:r>
        <w:t>Drone NDVI/NDRE</w:t>
      </w:r>
    </w:p>
    <w:p w:rsidR="00D40A30" w:rsidRDefault="00D40A30" w:rsidP="00D40A30">
      <w:pPr>
        <w:pStyle w:val="a3"/>
        <w:numPr>
          <w:ilvl w:val="0"/>
          <w:numId w:val="31"/>
        </w:numPr>
      </w:pPr>
      <w:r>
        <w:t>Carbon sequestration metrics</w:t>
      </w:r>
    </w:p>
    <w:p w:rsidR="00D40A30" w:rsidRDefault="00D40A30" w:rsidP="00D40A30">
      <w:pPr>
        <w:pStyle w:val="a3"/>
        <w:numPr>
          <w:ilvl w:val="0"/>
          <w:numId w:val="31"/>
        </w:numPr>
      </w:pPr>
      <w:r>
        <w:t>Harvest quantity and quality</w:t>
      </w:r>
    </w:p>
    <w:p w:rsidR="00D40A30" w:rsidRDefault="00D40A30" w:rsidP="00D40A30">
      <w:pPr>
        <w:pStyle w:val="2"/>
      </w:pPr>
      <w:r>
        <w:rPr>
          <w:rStyle w:val="a4"/>
          <w:b/>
          <w:bCs/>
        </w:rPr>
        <w:t>3.2 Processing Stage</w:t>
      </w:r>
    </w:p>
    <w:p w:rsidR="00D40A30" w:rsidRDefault="00D40A30" w:rsidP="00D40A30">
      <w:pPr>
        <w:pStyle w:val="a3"/>
        <w:numPr>
          <w:ilvl w:val="0"/>
          <w:numId w:val="32"/>
        </w:numPr>
      </w:pPr>
      <w:r>
        <w:t>Roasting profiles (temperature curves)</w:t>
      </w:r>
    </w:p>
    <w:p w:rsidR="00D40A30" w:rsidRDefault="00D40A30" w:rsidP="00D40A30">
      <w:pPr>
        <w:pStyle w:val="a3"/>
        <w:numPr>
          <w:ilvl w:val="0"/>
          <w:numId w:val="32"/>
        </w:numPr>
      </w:pPr>
      <w:r>
        <w:t>Milling efficiency and defect ratios</w:t>
      </w:r>
    </w:p>
    <w:p w:rsidR="00D40A30" w:rsidRDefault="00D40A30" w:rsidP="00D40A30">
      <w:pPr>
        <w:pStyle w:val="a3"/>
        <w:numPr>
          <w:ilvl w:val="0"/>
          <w:numId w:val="32"/>
        </w:numPr>
      </w:pPr>
      <w:r>
        <w:t>Energy usage and emissions</w:t>
      </w:r>
    </w:p>
    <w:p w:rsidR="00D40A30" w:rsidRDefault="00D40A30" w:rsidP="00D40A30">
      <w:pPr>
        <w:pStyle w:val="2"/>
      </w:pPr>
      <w:r>
        <w:rPr>
          <w:rStyle w:val="a4"/>
          <w:b/>
          <w:bCs/>
        </w:rPr>
        <w:t>3.3 Distribution Stage</w:t>
      </w:r>
    </w:p>
    <w:p w:rsidR="00D40A30" w:rsidRDefault="00D40A30" w:rsidP="00D40A30">
      <w:pPr>
        <w:pStyle w:val="a3"/>
        <w:numPr>
          <w:ilvl w:val="0"/>
          <w:numId w:val="33"/>
        </w:numPr>
      </w:pPr>
      <w:r>
        <w:t>Warehouse and transport conditions</w:t>
      </w:r>
    </w:p>
    <w:p w:rsidR="00D40A30" w:rsidRDefault="00D40A30" w:rsidP="00D40A30">
      <w:pPr>
        <w:pStyle w:val="a3"/>
        <w:numPr>
          <w:ilvl w:val="0"/>
          <w:numId w:val="33"/>
        </w:numPr>
      </w:pPr>
      <w:r>
        <w:t>Export/import documents</w:t>
      </w:r>
    </w:p>
    <w:p w:rsidR="00D40A30" w:rsidRDefault="00D40A30" w:rsidP="00D40A30">
      <w:pPr>
        <w:pStyle w:val="a3"/>
        <w:numPr>
          <w:ilvl w:val="0"/>
          <w:numId w:val="33"/>
        </w:numPr>
      </w:pPr>
      <w:r>
        <w:t>Chain-of-custody verification</w:t>
      </w:r>
    </w:p>
    <w:p w:rsidR="00D40A30" w:rsidRDefault="00D40A30" w:rsidP="00D40A30">
      <w:pPr>
        <w:pStyle w:val="2"/>
      </w:pPr>
      <w:r>
        <w:rPr>
          <w:rStyle w:val="a4"/>
          <w:b/>
          <w:bCs/>
        </w:rPr>
        <w:t>3.4 Consumption Stage</w:t>
      </w:r>
    </w:p>
    <w:p w:rsidR="00D40A30" w:rsidRDefault="00D40A30" w:rsidP="00D40A30">
      <w:pPr>
        <w:pStyle w:val="a3"/>
        <w:numPr>
          <w:ilvl w:val="0"/>
          <w:numId w:val="34"/>
        </w:numPr>
      </w:pPr>
      <w:r>
        <w:t>Consumer ESG verification</w:t>
      </w:r>
    </w:p>
    <w:p w:rsidR="00D40A30" w:rsidRDefault="00D40A30" w:rsidP="00D40A30">
      <w:pPr>
        <w:pStyle w:val="a3"/>
        <w:numPr>
          <w:ilvl w:val="0"/>
          <w:numId w:val="34"/>
        </w:numPr>
      </w:pPr>
      <w:r>
        <w:t>Product authenticity (farm-to-cup)</w:t>
      </w:r>
    </w:p>
    <w:p w:rsidR="00D40A30" w:rsidRDefault="00D40A30" w:rsidP="00D40A30">
      <w:pPr>
        <w:pStyle w:val="a3"/>
        <w:numPr>
          <w:ilvl w:val="0"/>
          <w:numId w:val="34"/>
        </w:numPr>
      </w:pPr>
      <w:r>
        <w:t>Premium pricing tied to verified data</w:t>
      </w:r>
    </w:p>
    <w:p w:rsidR="00D40A30" w:rsidRDefault="00D40A30" w:rsidP="00D40A30">
      <w:pPr>
        <w:pStyle w:val="a3"/>
      </w:pPr>
      <w:r>
        <w:t>Each transaction is hashed into the blockchain for immutable traceability.</w:t>
      </w:r>
    </w:p>
    <w:p w:rsidR="00D40A30" w:rsidRDefault="00D40A30" w:rsidP="00D40A30">
      <w:r>
        <w:pict>
          <v:rect id="_x0000_i1029" style="width:0;height:1.5pt" o:hralign="center" o:hrstd="t" o:hr="t" fillcolor="#a0a0a0" stroked="f"/>
        </w:pict>
      </w:r>
    </w:p>
    <w:p w:rsidR="00D40A30" w:rsidRDefault="00D40A30" w:rsidP="00D40A30">
      <w:pPr>
        <w:pStyle w:val="1"/>
      </w:pPr>
      <w:r>
        <w:rPr>
          <w:rStyle w:val="a4"/>
          <w:b w:val="0"/>
          <w:bCs w:val="0"/>
        </w:rPr>
        <w:t>4. Smart Contract Mechanism for Economic Transparency</w:t>
      </w:r>
    </w:p>
    <w:p w:rsidR="00D40A30" w:rsidRDefault="00D40A30" w:rsidP="00D40A30">
      <w:pPr>
        <w:pStyle w:val="a3"/>
      </w:pPr>
      <w:r>
        <w:t xml:space="preserve">Smart contracts execute </w:t>
      </w:r>
      <w:r>
        <w:rPr>
          <w:rStyle w:val="a4"/>
        </w:rPr>
        <w:t>automatic cost/benefit calculations and revenue sharing</w:t>
      </w:r>
      <w:r>
        <w:t xml:space="preserve"> based on verified input data.</w:t>
      </w:r>
    </w:p>
    <w:p w:rsidR="00D40A30" w:rsidRDefault="00D40A30" w:rsidP="00D40A30">
      <w:pPr>
        <w:pStyle w:val="2"/>
      </w:pPr>
      <w:r>
        <w:rPr>
          <w:rStyle w:val="a4"/>
          <w:b/>
          <w:bCs/>
        </w:rPr>
        <w:t>4.1 Input Variables to Smart Contract Algorithms</w:t>
      </w:r>
    </w:p>
    <w:tbl>
      <w:tblPr>
        <w:tblW w:w="0" w:type="auto"/>
        <w:tblCellSpacing w:w="15" w:type="dxa"/>
        <w:tblCellMar>
          <w:top w:w="15" w:type="dxa"/>
          <w:left w:w="15" w:type="dxa"/>
          <w:bottom w:w="15" w:type="dxa"/>
          <w:right w:w="15" w:type="dxa"/>
        </w:tblCellMar>
        <w:tblLook w:val="04A0"/>
      </w:tblPr>
      <w:tblGrid>
        <w:gridCol w:w="2418"/>
        <w:gridCol w:w="1730"/>
        <w:gridCol w:w="2472"/>
      </w:tblGrid>
      <w:tr w:rsidR="00D40A30" w:rsidTr="00D40A30">
        <w:trPr>
          <w:tblHeader/>
          <w:tblCellSpacing w:w="15" w:type="dxa"/>
        </w:trPr>
        <w:tc>
          <w:tcPr>
            <w:tcW w:w="0" w:type="auto"/>
            <w:vAlign w:val="center"/>
            <w:hideMark/>
          </w:tcPr>
          <w:p w:rsidR="00D40A30" w:rsidRDefault="00D40A30">
            <w:pPr>
              <w:jc w:val="center"/>
              <w:rPr>
                <w:b/>
                <w:bCs/>
                <w:sz w:val="24"/>
                <w:szCs w:val="24"/>
              </w:rPr>
            </w:pPr>
            <w:r>
              <w:rPr>
                <w:b/>
                <w:bCs/>
              </w:rPr>
              <w:t>Variable</w:t>
            </w:r>
          </w:p>
        </w:tc>
        <w:tc>
          <w:tcPr>
            <w:tcW w:w="0" w:type="auto"/>
            <w:vAlign w:val="center"/>
            <w:hideMark/>
          </w:tcPr>
          <w:p w:rsidR="00D40A30" w:rsidRDefault="00D40A30">
            <w:pPr>
              <w:jc w:val="center"/>
              <w:rPr>
                <w:b/>
                <w:bCs/>
                <w:sz w:val="24"/>
                <w:szCs w:val="24"/>
              </w:rPr>
            </w:pPr>
            <w:r>
              <w:rPr>
                <w:b/>
                <w:bCs/>
              </w:rPr>
              <w:t>Source</w:t>
            </w:r>
          </w:p>
        </w:tc>
        <w:tc>
          <w:tcPr>
            <w:tcW w:w="0" w:type="auto"/>
            <w:vAlign w:val="center"/>
            <w:hideMark/>
          </w:tcPr>
          <w:p w:rsidR="00D40A30" w:rsidRDefault="00D40A30">
            <w:pPr>
              <w:jc w:val="center"/>
              <w:rPr>
                <w:b/>
                <w:bCs/>
                <w:sz w:val="24"/>
                <w:szCs w:val="24"/>
              </w:rPr>
            </w:pPr>
            <w:r>
              <w:rPr>
                <w:b/>
                <w:bCs/>
              </w:rPr>
              <w:t>Function</w:t>
            </w:r>
          </w:p>
        </w:tc>
      </w:tr>
      <w:tr w:rsidR="00D40A30" w:rsidTr="00D40A30">
        <w:trPr>
          <w:tblCellSpacing w:w="15" w:type="dxa"/>
        </w:trPr>
        <w:tc>
          <w:tcPr>
            <w:tcW w:w="0" w:type="auto"/>
            <w:vAlign w:val="center"/>
            <w:hideMark/>
          </w:tcPr>
          <w:p w:rsidR="00D40A30" w:rsidRDefault="00D40A30">
            <w:pPr>
              <w:rPr>
                <w:sz w:val="24"/>
                <w:szCs w:val="24"/>
              </w:rPr>
            </w:pPr>
            <w:r>
              <w:t>Carbon sequestration</w:t>
            </w:r>
          </w:p>
        </w:tc>
        <w:tc>
          <w:tcPr>
            <w:tcW w:w="0" w:type="auto"/>
            <w:vAlign w:val="center"/>
            <w:hideMark/>
          </w:tcPr>
          <w:p w:rsidR="00D40A30" w:rsidRDefault="00D40A30">
            <w:pPr>
              <w:rPr>
                <w:sz w:val="24"/>
                <w:szCs w:val="24"/>
              </w:rPr>
            </w:pPr>
            <w:r>
              <w:t>IoT/drone/satellite</w:t>
            </w:r>
          </w:p>
        </w:tc>
        <w:tc>
          <w:tcPr>
            <w:tcW w:w="0" w:type="auto"/>
            <w:vAlign w:val="center"/>
            <w:hideMark/>
          </w:tcPr>
          <w:p w:rsidR="00D40A30" w:rsidRDefault="00D40A30">
            <w:pPr>
              <w:rPr>
                <w:sz w:val="24"/>
                <w:szCs w:val="24"/>
              </w:rPr>
            </w:pPr>
            <w:r>
              <w:t>Carbon credit payout</w:t>
            </w:r>
          </w:p>
        </w:tc>
      </w:tr>
      <w:tr w:rsidR="00D40A30" w:rsidTr="00D40A30">
        <w:trPr>
          <w:tblCellSpacing w:w="15" w:type="dxa"/>
        </w:trPr>
        <w:tc>
          <w:tcPr>
            <w:tcW w:w="0" w:type="auto"/>
            <w:vAlign w:val="center"/>
            <w:hideMark/>
          </w:tcPr>
          <w:p w:rsidR="00D40A30" w:rsidRDefault="00D40A30">
            <w:pPr>
              <w:rPr>
                <w:sz w:val="24"/>
                <w:szCs w:val="24"/>
              </w:rPr>
            </w:pPr>
            <w:r>
              <w:lastRenderedPageBreak/>
              <w:t>Fertilizer reduction</w:t>
            </w:r>
          </w:p>
        </w:tc>
        <w:tc>
          <w:tcPr>
            <w:tcW w:w="0" w:type="auto"/>
            <w:vAlign w:val="center"/>
            <w:hideMark/>
          </w:tcPr>
          <w:p w:rsidR="00D40A30" w:rsidRDefault="00D40A30">
            <w:pPr>
              <w:rPr>
                <w:sz w:val="24"/>
                <w:szCs w:val="24"/>
              </w:rPr>
            </w:pPr>
            <w:r>
              <w:t>Farm logs</w:t>
            </w:r>
          </w:p>
        </w:tc>
        <w:tc>
          <w:tcPr>
            <w:tcW w:w="0" w:type="auto"/>
            <w:vAlign w:val="center"/>
            <w:hideMark/>
          </w:tcPr>
          <w:p w:rsidR="00D40A30" w:rsidRDefault="00D40A30">
            <w:pPr>
              <w:rPr>
                <w:sz w:val="24"/>
                <w:szCs w:val="24"/>
              </w:rPr>
            </w:pPr>
            <w:r>
              <w:t>Cost saving allocation</w:t>
            </w:r>
          </w:p>
        </w:tc>
      </w:tr>
      <w:tr w:rsidR="00D40A30" w:rsidTr="00D40A30">
        <w:trPr>
          <w:tblCellSpacing w:w="15" w:type="dxa"/>
        </w:trPr>
        <w:tc>
          <w:tcPr>
            <w:tcW w:w="0" w:type="auto"/>
            <w:vAlign w:val="center"/>
            <w:hideMark/>
          </w:tcPr>
          <w:p w:rsidR="00D40A30" w:rsidRDefault="00D40A30">
            <w:pPr>
              <w:rPr>
                <w:sz w:val="24"/>
                <w:szCs w:val="24"/>
              </w:rPr>
            </w:pPr>
            <w:r>
              <w:t>Water/energy reduction</w:t>
            </w:r>
          </w:p>
        </w:tc>
        <w:tc>
          <w:tcPr>
            <w:tcW w:w="0" w:type="auto"/>
            <w:vAlign w:val="center"/>
            <w:hideMark/>
          </w:tcPr>
          <w:p w:rsidR="00D40A30" w:rsidRDefault="00D40A30">
            <w:pPr>
              <w:rPr>
                <w:sz w:val="24"/>
                <w:szCs w:val="24"/>
              </w:rPr>
            </w:pPr>
            <w:r>
              <w:t>Smart irrigation</w:t>
            </w:r>
          </w:p>
        </w:tc>
        <w:tc>
          <w:tcPr>
            <w:tcW w:w="0" w:type="auto"/>
            <w:vAlign w:val="center"/>
            <w:hideMark/>
          </w:tcPr>
          <w:p w:rsidR="00D40A30" w:rsidRDefault="00D40A30">
            <w:pPr>
              <w:rPr>
                <w:sz w:val="24"/>
                <w:szCs w:val="24"/>
              </w:rPr>
            </w:pPr>
            <w:r>
              <w:t>Efficiency credit</w:t>
            </w:r>
          </w:p>
        </w:tc>
      </w:tr>
      <w:tr w:rsidR="00D40A30" w:rsidTr="00D40A30">
        <w:trPr>
          <w:tblCellSpacing w:w="15" w:type="dxa"/>
        </w:trPr>
        <w:tc>
          <w:tcPr>
            <w:tcW w:w="0" w:type="auto"/>
            <w:vAlign w:val="center"/>
            <w:hideMark/>
          </w:tcPr>
          <w:p w:rsidR="00D40A30" w:rsidRDefault="00D40A30">
            <w:pPr>
              <w:rPr>
                <w:sz w:val="24"/>
                <w:szCs w:val="24"/>
              </w:rPr>
            </w:pPr>
            <w:r>
              <w:t>Yield increase</w:t>
            </w:r>
          </w:p>
        </w:tc>
        <w:tc>
          <w:tcPr>
            <w:tcW w:w="0" w:type="auto"/>
            <w:vAlign w:val="center"/>
            <w:hideMark/>
          </w:tcPr>
          <w:p w:rsidR="00D40A30" w:rsidRDefault="00D40A30">
            <w:pPr>
              <w:rPr>
                <w:sz w:val="24"/>
                <w:szCs w:val="24"/>
              </w:rPr>
            </w:pPr>
            <w:r>
              <w:t>Harvest data</w:t>
            </w:r>
          </w:p>
        </w:tc>
        <w:tc>
          <w:tcPr>
            <w:tcW w:w="0" w:type="auto"/>
            <w:vAlign w:val="center"/>
            <w:hideMark/>
          </w:tcPr>
          <w:p w:rsidR="00D40A30" w:rsidRDefault="00D40A30">
            <w:pPr>
              <w:rPr>
                <w:sz w:val="24"/>
                <w:szCs w:val="24"/>
              </w:rPr>
            </w:pPr>
            <w:r>
              <w:t>Productivity bonus</w:t>
            </w:r>
          </w:p>
        </w:tc>
      </w:tr>
      <w:tr w:rsidR="00D40A30" w:rsidTr="00D40A30">
        <w:trPr>
          <w:tblCellSpacing w:w="15" w:type="dxa"/>
        </w:trPr>
        <w:tc>
          <w:tcPr>
            <w:tcW w:w="0" w:type="auto"/>
            <w:vAlign w:val="center"/>
            <w:hideMark/>
          </w:tcPr>
          <w:p w:rsidR="00D40A30" w:rsidRDefault="00D40A30">
            <w:pPr>
              <w:rPr>
                <w:sz w:val="24"/>
                <w:szCs w:val="24"/>
              </w:rPr>
            </w:pPr>
            <w:r>
              <w:t>Quality metrics</w:t>
            </w:r>
          </w:p>
        </w:tc>
        <w:tc>
          <w:tcPr>
            <w:tcW w:w="0" w:type="auto"/>
            <w:vAlign w:val="center"/>
            <w:hideMark/>
          </w:tcPr>
          <w:p w:rsidR="00D40A30" w:rsidRDefault="00D40A30">
            <w:pPr>
              <w:rPr>
                <w:sz w:val="24"/>
                <w:szCs w:val="24"/>
              </w:rPr>
            </w:pPr>
            <w:r>
              <w:t>SCA scores</w:t>
            </w:r>
          </w:p>
        </w:tc>
        <w:tc>
          <w:tcPr>
            <w:tcW w:w="0" w:type="auto"/>
            <w:vAlign w:val="center"/>
            <w:hideMark/>
          </w:tcPr>
          <w:p w:rsidR="00D40A30" w:rsidRDefault="00D40A30">
            <w:pPr>
              <w:rPr>
                <w:sz w:val="24"/>
                <w:szCs w:val="24"/>
              </w:rPr>
            </w:pPr>
            <w:r>
              <w:t>Premium price distribution</w:t>
            </w:r>
          </w:p>
        </w:tc>
      </w:tr>
      <w:tr w:rsidR="00D40A30" w:rsidTr="00D40A30">
        <w:trPr>
          <w:tblCellSpacing w:w="15" w:type="dxa"/>
        </w:trPr>
        <w:tc>
          <w:tcPr>
            <w:tcW w:w="0" w:type="auto"/>
            <w:vAlign w:val="center"/>
            <w:hideMark/>
          </w:tcPr>
          <w:p w:rsidR="00D40A30" w:rsidRDefault="00D40A30">
            <w:pPr>
              <w:rPr>
                <w:sz w:val="24"/>
                <w:szCs w:val="24"/>
              </w:rPr>
            </w:pPr>
            <w:r>
              <w:t>Supply chain transparency</w:t>
            </w:r>
          </w:p>
        </w:tc>
        <w:tc>
          <w:tcPr>
            <w:tcW w:w="0" w:type="auto"/>
            <w:vAlign w:val="center"/>
            <w:hideMark/>
          </w:tcPr>
          <w:p w:rsidR="00D40A30" w:rsidRDefault="00D40A30">
            <w:pPr>
              <w:rPr>
                <w:sz w:val="24"/>
                <w:szCs w:val="24"/>
              </w:rPr>
            </w:pPr>
            <w:r>
              <w:t>Blockchain records</w:t>
            </w:r>
          </w:p>
        </w:tc>
        <w:tc>
          <w:tcPr>
            <w:tcW w:w="0" w:type="auto"/>
            <w:vAlign w:val="center"/>
            <w:hideMark/>
          </w:tcPr>
          <w:p w:rsidR="00D40A30" w:rsidRDefault="00D40A30">
            <w:pPr>
              <w:rPr>
                <w:sz w:val="24"/>
                <w:szCs w:val="24"/>
              </w:rPr>
            </w:pPr>
            <w:r>
              <w:t>ESG bonus</w:t>
            </w:r>
          </w:p>
        </w:tc>
      </w:tr>
    </w:tbl>
    <w:p w:rsidR="00D40A30" w:rsidRDefault="00D40A30" w:rsidP="00D40A30">
      <w:pPr>
        <w:pStyle w:val="2"/>
      </w:pPr>
      <w:r>
        <w:rPr>
          <w:rStyle w:val="a4"/>
          <w:b/>
          <w:bCs/>
        </w:rPr>
        <w:t>4.2 Revenue Distribution Logic</w:t>
      </w:r>
    </w:p>
    <w:p w:rsidR="00D40A30" w:rsidRDefault="00D40A30" w:rsidP="00D40A30">
      <w:pPr>
        <w:pStyle w:val="3"/>
      </w:pPr>
      <w:r>
        <w:rPr>
          <w:rStyle w:val="a4"/>
          <w:b/>
          <w:bCs/>
        </w:rPr>
        <w:t>Farmer Share</w:t>
      </w:r>
    </w:p>
    <w:p w:rsidR="00D40A30" w:rsidRDefault="00D40A30" w:rsidP="00D40A30">
      <w:pPr>
        <w:pStyle w:val="a3"/>
        <w:numPr>
          <w:ilvl w:val="0"/>
          <w:numId w:val="35"/>
        </w:numPr>
      </w:pPr>
      <w:r>
        <w:t>Carbon income: 300–375 USD/ha</w:t>
      </w:r>
    </w:p>
    <w:p w:rsidR="00D40A30" w:rsidRDefault="00D40A30" w:rsidP="00D40A30">
      <w:pPr>
        <w:pStyle w:val="a3"/>
        <w:numPr>
          <w:ilvl w:val="0"/>
          <w:numId w:val="35"/>
        </w:numPr>
      </w:pPr>
      <w:r>
        <w:t>Input savings: 140–260 USD/ha</w:t>
      </w:r>
    </w:p>
    <w:p w:rsidR="00D40A30" w:rsidRDefault="00D40A30" w:rsidP="00D40A30">
      <w:pPr>
        <w:pStyle w:val="a3"/>
        <w:numPr>
          <w:ilvl w:val="0"/>
          <w:numId w:val="35"/>
        </w:numPr>
      </w:pPr>
      <w:r>
        <w:t>Premium price participation</w:t>
      </w:r>
    </w:p>
    <w:p w:rsidR="00D40A30" w:rsidRDefault="00D40A30" w:rsidP="00D40A30">
      <w:pPr>
        <w:pStyle w:val="3"/>
      </w:pPr>
      <w:r>
        <w:rPr>
          <w:rStyle w:val="a4"/>
          <w:b/>
          <w:bCs/>
        </w:rPr>
        <w:t>Processor Share</w:t>
      </w:r>
    </w:p>
    <w:p w:rsidR="00D40A30" w:rsidRDefault="00D40A30" w:rsidP="00D40A30">
      <w:pPr>
        <w:pStyle w:val="a3"/>
        <w:numPr>
          <w:ilvl w:val="0"/>
          <w:numId w:val="36"/>
        </w:numPr>
      </w:pPr>
      <w:r>
        <w:t>Verified processing contribution</w:t>
      </w:r>
    </w:p>
    <w:p w:rsidR="00D40A30" w:rsidRDefault="00D40A30" w:rsidP="00D40A30">
      <w:pPr>
        <w:pStyle w:val="3"/>
      </w:pPr>
      <w:r>
        <w:rPr>
          <w:rStyle w:val="a4"/>
          <w:b/>
          <w:bCs/>
        </w:rPr>
        <w:t>Distributor Share</w:t>
      </w:r>
    </w:p>
    <w:p w:rsidR="00D40A30" w:rsidRDefault="00D40A30" w:rsidP="00D40A30">
      <w:pPr>
        <w:pStyle w:val="a3"/>
        <w:numPr>
          <w:ilvl w:val="0"/>
          <w:numId w:val="37"/>
        </w:numPr>
      </w:pPr>
      <w:r>
        <w:t>Data-backed performance incentives</w:t>
      </w:r>
    </w:p>
    <w:p w:rsidR="00D40A30" w:rsidRDefault="00D40A30" w:rsidP="00D40A30">
      <w:pPr>
        <w:pStyle w:val="3"/>
      </w:pPr>
      <w:r>
        <w:rPr>
          <w:rStyle w:val="a4"/>
          <w:b/>
          <w:bCs/>
        </w:rPr>
        <w:t>Consumer Benefit</w:t>
      </w:r>
    </w:p>
    <w:p w:rsidR="00D40A30" w:rsidRDefault="00D40A30" w:rsidP="00D40A30">
      <w:pPr>
        <w:pStyle w:val="a3"/>
        <w:numPr>
          <w:ilvl w:val="0"/>
          <w:numId w:val="38"/>
        </w:numPr>
      </w:pPr>
      <w:r>
        <w:t>Verified origin</w:t>
      </w:r>
    </w:p>
    <w:p w:rsidR="00D40A30" w:rsidRDefault="00D40A30" w:rsidP="00D40A30">
      <w:pPr>
        <w:pStyle w:val="a3"/>
        <w:numPr>
          <w:ilvl w:val="0"/>
          <w:numId w:val="38"/>
        </w:numPr>
      </w:pPr>
      <w:r>
        <w:t>Environmental transparency</w:t>
      </w:r>
    </w:p>
    <w:p w:rsidR="00D40A30" w:rsidRDefault="00D40A30" w:rsidP="00D40A30">
      <w:pPr>
        <w:pStyle w:val="a3"/>
      </w:pPr>
      <w:r>
        <w:rPr>
          <w:rFonts w:ascii="MS Mincho" w:eastAsia="MS Mincho" w:hAnsi="MS Mincho" w:cs="MS Mincho" w:hint="eastAsia"/>
        </w:rPr>
        <w:t>➡</w:t>
      </w:r>
      <w:r>
        <w:t xml:space="preserve"> All distribution follows </w:t>
      </w:r>
      <w:r>
        <w:rPr>
          <w:rStyle w:val="a4"/>
        </w:rPr>
        <w:t>algorithmic rules</w:t>
      </w:r>
      <w:r>
        <w:t>, eliminating human bias.</w:t>
      </w:r>
    </w:p>
    <w:p w:rsidR="00D40A30" w:rsidRDefault="00D40A30" w:rsidP="00D40A30">
      <w:r>
        <w:pict>
          <v:rect id="_x0000_i1030" style="width:0;height:1.5pt" o:hralign="center" o:hrstd="t" o:hr="t" fillcolor="#a0a0a0" stroked="f"/>
        </w:pict>
      </w:r>
    </w:p>
    <w:p w:rsidR="00D40A30" w:rsidRDefault="00D40A30" w:rsidP="00D40A30">
      <w:pPr>
        <w:pStyle w:val="1"/>
      </w:pPr>
      <w:r>
        <w:rPr>
          <w:rStyle w:val="a4"/>
          <w:b w:val="0"/>
          <w:bCs w:val="0"/>
        </w:rPr>
        <w:t>5. Achieving Economic Transparency through Blockchain</w:t>
      </w:r>
    </w:p>
    <w:p w:rsidR="00D40A30" w:rsidRDefault="00D40A30" w:rsidP="00D40A30">
      <w:pPr>
        <w:pStyle w:val="a3"/>
      </w:pPr>
      <w:r>
        <w:t xml:space="preserve">Blockchain establishes a </w:t>
      </w:r>
      <w:r>
        <w:rPr>
          <w:rStyle w:val="a4"/>
        </w:rPr>
        <w:t>transparent agricultural economy</w:t>
      </w:r>
      <w:r>
        <w:t xml:space="preserve"> through:</w:t>
      </w:r>
    </w:p>
    <w:p w:rsidR="00D40A30" w:rsidRDefault="00D40A30" w:rsidP="00D40A30">
      <w:pPr>
        <w:pStyle w:val="3"/>
      </w:pPr>
      <w:r>
        <w:rPr>
          <w:rFonts w:ascii="MS Mincho" w:eastAsia="MS Mincho" w:hAnsi="MS Mincho" w:cs="MS Mincho" w:hint="eastAsia"/>
        </w:rPr>
        <w:t>✔</w:t>
      </w:r>
      <w:r>
        <w:t xml:space="preserve"> Immutable cost and revenue records</w:t>
      </w:r>
    </w:p>
    <w:p w:rsidR="00D40A30" w:rsidRDefault="00D40A30" w:rsidP="00D40A30">
      <w:pPr>
        <w:pStyle w:val="3"/>
      </w:pPr>
      <w:r>
        <w:rPr>
          <w:rFonts w:ascii="MS Mincho" w:eastAsia="MS Mincho" w:hAnsi="MS Mincho" w:cs="MS Mincho" w:hint="eastAsia"/>
        </w:rPr>
        <w:t>✔</w:t>
      </w:r>
      <w:r>
        <w:t xml:space="preserve"> Verified environmental performance</w:t>
      </w:r>
    </w:p>
    <w:p w:rsidR="00D40A30" w:rsidRDefault="00D40A30" w:rsidP="00D40A30">
      <w:pPr>
        <w:pStyle w:val="3"/>
      </w:pPr>
      <w:r>
        <w:rPr>
          <w:rFonts w:ascii="MS Mincho" w:eastAsia="MS Mincho" w:hAnsi="MS Mincho" w:cs="MS Mincho" w:hint="eastAsia"/>
        </w:rPr>
        <w:t>✔</w:t>
      </w:r>
      <w:r>
        <w:t xml:space="preserve"> Automated, unbiased revenue sharing</w:t>
      </w:r>
    </w:p>
    <w:p w:rsidR="00D40A30" w:rsidRDefault="00D40A30" w:rsidP="00D40A30">
      <w:pPr>
        <w:pStyle w:val="3"/>
      </w:pPr>
      <w:r>
        <w:rPr>
          <w:rFonts w:ascii="MS Mincho" w:eastAsia="MS Mincho" w:hAnsi="MS Mincho" w:cs="MS Mincho" w:hint="eastAsia"/>
        </w:rPr>
        <w:t>✔</w:t>
      </w:r>
      <w:r>
        <w:t xml:space="preserve"> Zero-fraud traceability</w:t>
      </w:r>
    </w:p>
    <w:p w:rsidR="00D40A30" w:rsidRDefault="00D40A30" w:rsidP="00D40A30">
      <w:pPr>
        <w:pStyle w:val="3"/>
      </w:pPr>
      <w:r>
        <w:rPr>
          <w:rFonts w:ascii="MS Mincho" w:eastAsia="MS Mincho" w:hAnsi="MS Mincho" w:cs="MS Mincho" w:hint="eastAsia"/>
        </w:rPr>
        <w:lastRenderedPageBreak/>
        <w:t>✔</w:t>
      </w:r>
      <w:r>
        <w:t xml:space="preserve"> Real-time ESG scoring</w:t>
      </w:r>
    </w:p>
    <w:p w:rsidR="00D40A30" w:rsidRDefault="00D40A30" w:rsidP="00D40A30">
      <w:pPr>
        <w:pStyle w:val="3"/>
      </w:pPr>
      <w:r>
        <w:rPr>
          <w:rFonts w:ascii="MS Mincho" w:eastAsia="MS Mincho" w:hAnsi="MS Mincho" w:cs="MS Mincho" w:hint="eastAsia"/>
        </w:rPr>
        <w:t>✔</w:t>
      </w:r>
      <w:r>
        <w:t xml:space="preserve"> Fair participation for smallholder farmers</w:t>
      </w:r>
    </w:p>
    <w:p w:rsidR="00D40A30" w:rsidRDefault="00D40A30" w:rsidP="00D40A30">
      <w:pPr>
        <w:pStyle w:val="a3"/>
      </w:pPr>
      <w:r>
        <w:t>This transparency strengthens sustainable business models and supports green investment flows.</w:t>
      </w:r>
    </w:p>
    <w:p w:rsidR="00D40A30" w:rsidRDefault="00D40A30" w:rsidP="00D40A30">
      <w:r>
        <w:pict>
          <v:rect id="_x0000_i1031" style="width:0;height:1.5pt" o:hralign="center" o:hrstd="t" o:hr="t" fillcolor="#a0a0a0" stroked="f"/>
        </w:pict>
      </w:r>
    </w:p>
    <w:p w:rsidR="00D40A30" w:rsidRDefault="00D40A30" w:rsidP="00D40A30">
      <w:pPr>
        <w:pStyle w:val="1"/>
      </w:pPr>
      <w:r>
        <w:rPr>
          <w:rStyle w:val="a4"/>
          <w:b w:val="0"/>
          <w:bCs w:val="0"/>
        </w:rPr>
        <w:t>6. Case Study: Viet Nam Coffee Sector</w:t>
      </w:r>
    </w:p>
    <w:p w:rsidR="00D40A30" w:rsidRDefault="00D40A30" w:rsidP="00D40A30">
      <w:pPr>
        <w:pStyle w:val="3"/>
      </w:pPr>
      <w:r>
        <w:rPr>
          <w:rStyle w:val="a4"/>
          <w:b/>
          <w:bCs/>
        </w:rPr>
        <w:t>Economic Outcomes</w:t>
      </w:r>
    </w:p>
    <w:tbl>
      <w:tblPr>
        <w:tblW w:w="0" w:type="auto"/>
        <w:tblCellSpacing w:w="15" w:type="dxa"/>
        <w:tblCellMar>
          <w:top w:w="15" w:type="dxa"/>
          <w:left w:w="15" w:type="dxa"/>
          <w:bottom w:w="15" w:type="dxa"/>
          <w:right w:w="15" w:type="dxa"/>
        </w:tblCellMar>
        <w:tblLook w:val="04A0"/>
      </w:tblPr>
      <w:tblGrid>
        <w:gridCol w:w="2664"/>
        <w:gridCol w:w="2539"/>
      </w:tblGrid>
      <w:tr w:rsidR="00D40A30" w:rsidTr="00D40A30">
        <w:trPr>
          <w:tblHeader/>
          <w:tblCellSpacing w:w="15" w:type="dxa"/>
        </w:trPr>
        <w:tc>
          <w:tcPr>
            <w:tcW w:w="0" w:type="auto"/>
            <w:vAlign w:val="center"/>
            <w:hideMark/>
          </w:tcPr>
          <w:p w:rsidR="00D40A30" w:rsidRDefault="00D40A30">
            <w:pPr>
              <w:jc w:val="center"/>
              <w:rPr>
                <w:b/>
                <w:bCs/>
                <w:sz w:val="24"/>
                <w:szCs w:val="24"/>
              </w:rPr>
            </w:pPr>
            <w:r>
              <w:rPr>
                <w:b/>
                <w:bCs/>
              </w:rPr>
              <w:t>Category</w:t>
            </w:r>
          </w:p>
        </w:tc>
        <w:tc>
          <w:tcPr>
            <w:tcW w:w="0" w:type="auto"/>
            <w:vAlign w:val="center"/>
            <w:hideMark/>
          </w:tcPr>
          <w:p w:rsidR="00D40A30" w:rsidRDefault="00D40A30">
            <w:pPr>
              <w:jc w:val="center"/>
              <w:rPr>
                <w:b/>
                <w:bCs/>
                <w:sz w:val="24"/>
                <w:szCs w:val="24"/>
              </w:rPr>
            </w:pPr>
            <w:r>
              <w:rPr>
                <w:b/>
                <w:bCs/>
              </w:rPr>
              <w:t>Value</w:t>
            </w:r>
          </w:p>
        </w:tc>
      </w:tr>
      <w:tr w:rsidR="00D40A30" w:rsidTr="00D40A30">
        <w:trPr>
          <w:tblCellSpacing w:w="15" w:type="dxa"/>
        </w:trPr>
        <w:tc>
          <w:tcPr>
            <w:tcW w:w="0" w:type="auto"/>
            <w:vAlign w:val="center"/>
            <w:hideMark/>
          </w:tcPr>
          <w:p w:rsidR="00D40A30" w:rsidRDefault="00D40A30">
            <w:pPr>
              <w:rPr>
                <w:sz w:val="24"/>
                <w:szCs w:val="24"/>
              </w:rPr>
            </w:pPr>
            <w:r>
              <w:t>Carbon credit income</w:t>
            </w:r>
          </w:p>
        </w:tc>
        <w:tc>
          <w:tcPr>
            <w:tcW w:w="0" w:type="auto"/>
            <w:vAlign w:val="center"/>
            <w:hideMark/>
          </w:tcPr>
          <w:p w:rsidR="00D40A30" w:rsidRDefault="00D40A30">
            <w:pPr>
              <w:rPr>
                <w:sz w:val="24"/>
                <w:szCs w:val="24"/>
              </w:rPr>
            </w:pPr>
            <w:r>
              <w:t>300–375 USD/ha</w:t>
            </w:r>
          </w:p>
        </w:tc>
      </w:tr>
      <w:tr w:rsidR="00D40A30" w:rsidTr="00D40A30">
        <w:trPr>
          <w:tblCellSpacing w:w="15" w:type="dxa"/>
        </w:trPr>
        <w:tc>
          <w:tcPr>
            <w:tcW w:w="0" w:type="auto"/>
            <w:vAlign w:val="center"/>
            <w:hideMark/>
          </w:tcPr>
          <w:p w:rsidR="00D40A30" w:rsidRDefault="00D40A30">
            <w:pPr>
              <w:rPr>
                <w:sz w:val="24"/>
                <w:szCs w:val="24"/>
              </w:rPr>
            </w:pPr>
            <w:r>
              <w:t>Fertilizer reduction</w:t>
            </w:r>
          </w:p>
        </w:tc>
        <w:tc>
          <w:tcPr>
            <w:tcW w:w="0" w:type="auto"/>
            <w:vAlign w:val="center"/>
            <w:hideMark/>
          </w:tcPr>
          <w:p w:rsidR="00D40A30" w:rsidRDefault="00D40A30">
            <w:pPr>
              <w:rPr>
                <w:sz w:val="24"/>
                <w:szCs w:val="24"/>
              </w:rPr>
            </w:pPr>
            <w:r>
              <w:t>100–180 USD/ha</w:t>
            </w:r>
          </w:p>
        </w:tc>
      </w:tr>
      <w:tr w:rsidR="00D40A30" w:rsidTr="00D40A30">
        <w:trPr>
          <w:tblCellSpacing w:w="15" w:type="dxa"/>
        </w:trPr>
        <w:tc>
          <w:tcPr>
            <w:tcW w:w="0" w:type="auto"/>
            <w:vAlign w:val="center"/>
            <w:hideMark/>
          </w:tcPr>
          <w:p w:rsidR="00D40A30" w:rsidRDefault="00D40A30">
            <w:pPr>
              <w:rPr>
                <w:sz w:val="24"/>
                <w:szCs w:val="24"/>
              </w:rPr>
            </w:pPr>
            <w:r>
              <w:t>Water/energy reduction</w:t>
            </w:r>
          </w:p>
        </w:tc>
        <w:tc>
          <w:tcPr>
            <w:tcW w:w="0" w:type="auto"/>
            <w:vAlign w:val="center"/>
            <w:hideMark/>
          </w:tcPr>
          <w:p w:rsidR="00D40A30" w:rsidRDefault="00D40A30">
            <w:pPr>
              <w:rPr>
                <w:sz w:val="24"/>
                <w:szCs w:val="24"/>
              </w:rPr>
            </w:pPr>
            <w:r>
              <w:t>40–80 USD/ha</w:t>
            </w:r>
          </w:p>
        </w:tc>
      </w:tr>
      <w:tr w:rsidR="00D40A30" w:rsidTr="00D40A30">
        <w:trPr>
          <w:tblCellSpacing w:w="15" w:type="dxa"/>
        </w:trPr>
        <w:tc>
          <w:tcPr>
            <w:tcW w:w="0" w:type="auto"/>
            <w:vAlign w:val="center"/>
            <w:hideMark/>
          </w:tcPr>
          <w:p w:rsidR="00D40A30" w:rsidRDefault="00D40A30">
            <w:pPr>
              <w:rPr>
                <w:sz w:val="24"/>
                <w:szCs w:val="24"/>
              </w:rPr>
            </w:pPr>
            <w:r>
              <w:t>Total farmer income increase</w:t>
            </w:r>
          </w:p>
        </w:tc>
        <w:tc>
          <w:tcPr>
            <w:tcW w:w="0" w:type="auto"/>
            <w:vAlign w:val="center"/>
            <w:hideMark/>
          </w:tcPr>
          <w:p w:rsidR="00D40A30" w:rsidRDefault="00D40A30">
            <w:pPr>
              <w:rPr>
                <w:sz w:val="24"/>
                <w:szCs w:val="24"/>
              </w:rPr>
            </w:pPr>
            <w:r>
              <w:t>450–600 USD/ha (7.5–10%)</w:t>
            </w:r>
          </w:p>
        </w:tc>
      </w:tr>
    </w:tbl>
    <w:p w:rsidR="00D40A30" w:rsidRDefault="00D40A30" w:rsidP="00D40A30">
      <w:pPr>
        <w:pStyle w:val="a3"/>
      </w:pPr>
      <w:r>
        <w:t>Blockchain smart contracts allow transparent allocation of these benefits.</w:t>
      </w:r>
    </w:p>
    <w:p w:rsidR="00D40A30" w:rsidRDefault="00D40A30" w:rsidP="00D40A30">
      <w:r>
        <w:pict>
          <v:rect id="_x0000_i1032" style="width:0;height:1.5pt" o:hralign="center" o:hrstd="t" o:hr="t" fillcolor="#a0a0a0" stroked="f"/>
        </w:pict>
      </w:r>
    </w:p>
    <w:p w:rsidR="00D40A30" w:rsidRDefault="00D40A30" w:rsidP="00D40A30">
      <w:pPr>
        <w:pStyle w:val="1"/>
      </w:pPr>
      <w:r>
        <w:rPr>
          <w:rStyle w:val="a4"/>
          <w:b w:val="0"/>
          <w:bCs w:val="0"/>
        </w:rPr>
        <w:t>7. Contribution to Green Economy, Sustainable Business, and Digital Economy</w:t>
      </w:r>
    </w:p>
    <w:p w:rsidR="00D40A30" w:rsidRDefault="00D40A30" w:rsidP="00D40A30">
      <w:pPr>
        <w:pStyle w:val="3"/>
      </w:pPr>
      <w:r>
        <w:rPr>
          <w:rStyle w:val="a4"/>
          <w:b/>
          <w:bCs/>
        </w:rPr>
        <w:t>Green Economy</w:t>
      </w:r>
    </w:p>
    <w:p w:rsidR="00D40A30" w:rsidRDefault="00D40A30" w:rsidP="00D40A30">
      <w:pPr>
        <w:pStyle w:val="a3"/>
        <w:numPr>
          <w:ilvl w:val="0"/>
          <w:numId w:val="39"/>
        </w:numPr>
      </w:pPr>
      <w:r>
        <w:t>Quantified carbon reduction</w:t>
      </w:r>
    </w:p>
    <w:p w:rsidR="00D40A30" w:rsidRDefault="00D40A30" w:rsidP="00D40A30">
      <w:pPr>
        <w:pStyle w:val="a3"/>
        <w:numPr>
          <w:ilvl w:val="0"/>
          <w:numId w:val="39"/>
        </w:numPr>
      </w:pPr>
      <w:r>
        <w:t>Verified regenerative agriculture</w:t>
      </w:r>
    </w:p>
    <w:p w:rsidR="00D40A30" w:rsidRDefault="00D40A30" w:rsidP="00D40A30">
      <w:pPr>
        <w:pStyle w:val="a3"/>
        <w:numPr>
          <w:ilvl w:val="0"/>
          <w:numId w:val="39"/>
        </w:numPr>
      </w:pPr>
      <w:r>
        <w:t>Carbon credit monetization</w:t>
      </w:r>
    </w:p>
    <w:p w:rsidR="00D40A30" w:rsidRDefault="00D40A30" w:rsidP="00D40A30">
      <w:pPr>
        <w:pStyle w:val="3"/>
      </w:pPr>
      <w:r>
        <w:rPr>
          <w:rStyle w:val="a4"/>
          <w:b/>
          <w:bCs/>
        </w:rPr>
        <w:t>Sustainable Business Models</w:t>
      </w:r>
    </w:p>
    <w:p w:rsidR="00D40A30" w:rsidRDefault="00D40A30" w:rsidP="00D40A30">
      <w:pPr>
        <w:pStyle w:val="a3"/>
        <w:numPr>
          <w:ilvl w:val="0"/>
          <w:numId w:val="40"/>
        </w:numPr>
      </w:pPr>
      <w:r>
        <w:t>Algorithmic fairness</w:t>
      </w:r>
    </w:p>
    <w:p w:rsidR="00D40A30" w:rsidRDefault="00D40A30" w:rsidP="00D40A30">
      <w:pPr>
        <w:pStyle w:val="a3"/>
        <w:numPr>
          <w:ilvl w:val="0"/>
          <w:numId w:val="40"/>
        </w:numPr>
      </w:pPr>
      <w:r>
        <w:t>Zero information asymmetry</w:t>
      </w:r>
    </w:p>
    <w:p w:rsidR="00D40A30" w:rsidRDefault="00D40A30" w:rsidP="00D40A30">
      <w:pPr>
        <w:pStyle w:val="a3"/>
        <w:numPr>
          <w:ilvl w:val="0"/>
          <w:numId w:val="40"/>
        </w:numPr>
      </w:pPr>
      <w:r>
        <w:t>Circular, data-driven value creation</w:t>
      </w:r>
    </w:p>
    <w:p w:rsidR="00D40A30" w:rsidRDefault="00D40A30" w:rsidP="00D40A30">
      <w:pPr>
        <w:pStyle w:val="3"/>
      </w:pPr>
      <w:r>
        <w:rPr>
          <w:rStyle w:val="a4"/>
          <w:b/>
          <w:bCs/>
        </w:rPr>
        <w:t>Digital Agriculture Economy</w:t>
      </w:r>
    </w:p>
    <w:p w:rsidR="00D40A30" w:rsidRDefault="00D40A30" w:rsidP="00D40A30">
      <w:pPr>
        <w:pStyle w:val="a3"/>
        <w:numPr>
          <w:ilvl w:val="0"/>
          <w:numId w:val="41"/>
        </w:numPr>
      </w:pPr>
      <w:r>
        <w:t>On-chain production records</w:t>
      </w:r>
    </w:p>
    <w:p w:rsidR="00D40A30" w:rsidRDefault="00D40A30" w:rsidP="00D40A30">
      <w:pPr>
        <w:pStyle w:val="a3"/>
        <w:numPr>
          <w:ilvl w:val="0"/>
          <w:numId w:val="41"/>
        </w:numPr>
      </w:pPr>
      <w:r>
        <w:t>AI-driven optimization</w:t>
      </w:r>
    </w:p>
    <w:p w:rsidR="00D40A30" w:rsidRDefault="00D40A30" w:rsidP="00D40A30">
      <w:pPr>
        <w:pStyle w:val="a3"/>
        <w:numPr>
          <w:ilvl w:val="0"/>
          <w:numId w:val="41"/>
        </w:numPr>
      </w:pPr>
      <w:r>
        <w:t>Smart contract–based incentive markets</w:t>
      </w:r>
    </w:p>
    <w:p w:rsidR="00D40A30" w:rsidRDefault="00D40A30" w:rsidP="00D40A30">
      <w:pPr>
        <w:pStyle w:val="a3"/>
        <w:numPr>
          <w:ilvl w:val="0"/>
          <w:numId w:val="41"/>
        </w:numPr>
      </w:pPr>
      <w:r>
        <w:t>ESG-integrated digital exports</w:t>
      </w:r>
    </w:p>
    <w:p w:rsidR="00D40A30" w:rsidRDefault="00D40A30" w:rsidP="00D40A30">
      <w:r>
        <w:pict>
          <v:rect id="_x0000_i1033" style="width:0;height:1.5pt" o:hralign="center" o:hrstd="t" o:hr="t" fillcolor="#a0a0a0" stroked="f"/>
        </w:pict>
      </w:r>
    </w:p>
    <w:p w:rsidR="00D40A30" w:rsidRDefault="00D40A30" w:rsidP="00D40A30">
      <w:pPr>
        <w:pStyle w:val="1"/>
      </w:pPr>
      <w:r>
        <w:rPr>
          <w:rStyle w:val="a4"/>
          <w:b w:val="0"/>
          <w:bCs w:val="0"/>
        </w:rPr>
        <w:lastRenderedPageBreak/>
        <w:t>8. Conclusion</w:t>
      </w:r>
    </w:p>
    <w:p w:rsidR="00D40A30" w:rsidRDefault="00D40A30" w:rsidP="00D40A30">
      <w:pPr>
        <w:pStyle w:val="a3"/>
      </w:pPr>
      <w:r>
        <w:t xml:space="preserve">This study presents a blockchain-based smart contract framework that transforms the coffee value chain into a </w:t>
      </w:r>
      <w:r>
        <w:rPr>
          <w:rStyle w:val="a4"/>
        </w:rPr>
        <w:t>transparent, efficient, and equitable digital economy</w:t>
      </w:r>
      <w:r>
        <w:t>. By integrating TerraChar-generated big data with smart contracts, the model accomplishes:</w:t>
      </w:r>
    </w:p>
    <w:p w:rsidR="00D40A30" w:rsidRDefault="00D40A30" w:rsidP="00D40A30">
      <w:pPr>
        <w:pStyle w:val="a3"/>
        <w:numPr>
          <w:ilvl w:val="0"/>
          <w:numId w:val="42"/>
        </w:numPr>
      </w:pPr>
      <w:r>
        <w:t>Full value-chain digitization</w:t>
      </w:r>
    </w:p>
    <w:p w:rsidR="00D40A30" w:rsidRDefault="00D40A30" w:rsidP="00D40A30">
      <w:pPr>
        <w:pStyle w:val="a3"/>
        <w:numPr>
          <w:ilvl w:val="0"/>
          <w:numId w:val="42"/>
        </w:numPr>
      </w:pPr>
      <w:r>
        <w:t>Verified green-economy impacts</w:t>
      </w:r>
    </w:p>
    <w:p w:rsidR="00D40A30" w:rsidRDefault="00D40A30" w:rsidP="00D40A30">
      <w:pPr>
        <w:pStyle w:val="a3"/>
        <w:numPr>
          <w:ilvl w:val="0"/>
          <w:numId w:val="42"/>
        </w:numPr>
      </w:pPr>
      <w:r>
        <w:t>Automated cost and revenue transparency</w:t>
      </w:r>
    </w:p>
    <w:p w:rsidR="00D40A30" w:rsidRDefault="00D40A30" w:rsidP="00D40A30">
      <w:pPr>
        <w:pStyle w:val="a3"/>
        <w:numPr>
          <w:ilvl w:val="0"/>
          <w:numId w:val="42"/>
        </w:numPr>
      </w:pPr>
      <w:r>
        <w:t>Fair income distribution</w:t>
      </w:r>
    </w:p>
    <w:p w:rsidR="00D40A30" w:rsidRDefault="00D40A30" w:rsidP="00D40A30">
      <w:pPr>
        <w:pStyle w:val="a3"/>
        <w:numPr>
          <w:ilvl w:val="0"/>
          <w:numId w:val="42"/>
        </w:numPr>
      </w:pPr>
      <w:r>
        <w:t>Strengthened sustainability and ESG compliance</w:t>
      </w:r>
    </w:p>
    <w:p w:rsidR="00D40A30" w:rsidRDefault="00D40A30" w:rsidP="00D40A30">
      <w:pPr>
        <w:pStyle w:val="a3"/>
        <w:numPr>
          <w:ilvl w:val="0"/>
          <w:numId w:val="42"/>
        </w:numPr>
      </w:pPr>
      <w:r>
        <w:t>Scalable application across ASEAN agriculture</w:t>
      </w:r>
    </w:p>
    <w:p w:rsidR="00D40A30" w:rsidRDefault="00D40A30" w:rsidP="00D40A30">
      <w:pPr>
        <w:pStyle w:val="a3"/>
      </w:pPr>
      <w:r>
        <w:t xml:space="preserve">The proposed system redefines blockchain as </w:t>
      </w:r>
      <w:r>
        <w:rPr>
          <w:rStyle w:val="a4"/>
        </w:rPr>
        <w:t>the core economic infrastructure</w:t>
      </w:r>
      <w:r>
        <w:t xml:space="preserve"> enabling green economy, sustainable business models, and digital economic transformation in agriculture.</w:t>
      </w:r>
    </w:p>
    <w:p w:rsidR="00D40A30" w:rsidRDefault="00D40A30" w:rsidP="00D40A30">
      <w:r>
        <w:pict>
          <v:rect id="_x0000_i1034" style="width:0;height:1.5pt" o:hralign="center" o:hrstd="t" o:hr="t" fillcolor="#a0a0a0" stroked="f"/>
        </w:pict>
      </w:r>
    </w:p>
    <w:p w:rsidR="00D40A30" w:rsidRPr="00D40A30" w:rsidRDefault="00D40A30" w:rsidP="00D40A30">
      <w:pPr>
        <w:pStyle w:val="2"/>
        <w:rPr>
          <w:rFonts w:eastAsiaTheme="minorEastAsia"/>
        </w:rPr>
      </w:pPr>
    </w:p>
    <w:p w:rsidR="00B00A9E" w:rsidRPr="00317FB6" w:rsidRDefault="00B00A9E" w:rsidP="00D40A30">
      <w:pPr>
        <w:pStyle w:val="1"/>
        <w:rPr>
          <w:szCs w:val="24"/>
        </w:rPr>
      </w:pPr>
    </w:p>
    <w:sectPr w:rsidR="00B00A9E" w:rsidRPr="00317FB6" w:rsidSect="00637A9F">
      <w:pgSz w:w="11907" w:h="16840" w:code="9"/>
      <w:pgMar w:top="1134"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93B" w:rsidRDefault="004C593B" w:rsidP="00913928">
      <w:pPr>
        <w:spacing w:after="0" w:line="240" w:lineRule="auto"/>
      </w:pPr>
      <w:r>
        <w:separator/>
      </w:r>
    </w:p>
  </w:endnote>
  <w:endnote w:type="continuationSeparator" w:id="1">
    <w:p w:rsidR="004C593B" w:rsidRDefault="004C593B" w:rsidP="009139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93B" w:rsidRDefault="004C593B" w:rsidP="00913928">
      <w:pPr>
        <w:spacing w:after="0" w:line="240" w:lineRule="auto"/>
      </w:pPr>
      <w:r>
        <w:separator/>
      </w:r>
    </w:p>
  </w:footnote>
  <w:footnote w:type="continuationSeparator" w:id="1">
    <w:p w:rsidR="004C593B" w:rsidRDefault="004C593B" w:rsidP="009139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2275"/>
    <w:multiLevelType w:val="multilevel"/>
    <w:tmpl w:val="48E6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74518"/>
    <w:multiLevelType w:val="multilevel"/>
    <w:tmpl w:val="F726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612CC"/>
    <w:multiLevelType w:val="multilevel"/>
    <w:tmpl w:val="B712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10403"/>
    <w:multiLevelType w:val="multilevel"/>
    <w:tmpl w:val="269A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D64F72"/>
    <w:multiLevelType w:val="multilevel"/>
    <w:tmpl w:val="2156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246B46"/>
    <w:multiLevelType w:val="multilevel"/>
    <w:tmpl w:val="3CF8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F15DEA"/>
    <w:multiLevelType w:val="multilevel"/>
    <w:tmpl w:val="308A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9A7A1B"/>
    <w:multiLevelType w:val="multilevel"/>
    <w:tmpl w:val="70FA8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F227B1"/>
    <w:multiLevelType w:val="multilevel"/>
    <w:tmpl w:val="FAC2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486E5F"/>
    <w:multiLevelType w:val="multilevel"/>
    <w:tmpl w:val="FEB0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F265DA"/>
    <w:multiLevelType w:val="multilevel"/>
    <w:tmpl w:val="4A4A8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5E5202"/>
    <w:multiLevelType w:val="multilevel"/>
    <w:tmpl w:val="D47C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8F0C64"/>
    <w:multiLevelType w:val="multilevel"/>
    <w:tmpl w:val="35AC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7511AF"/>
    <w:multiLevelType w:val="multilevel"/>
    <w:tmpl w:val="2A1E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621F70"/>
    <w:multiLevelType w:val="multilevel"/>
    <w:tmpl w:val="ABDA3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9F3033"/>
    <w:multiLevelType w:val="multilevel"/>
    <w:tmpl w:val="BEEE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1D19B6"/>
    <w:multiLevelType w:val="multilevel"/>
    <w:tmpl w:val="2D404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6C06FB"/>
    <w:multiLevelType w:val="multilevel"/>
    <w:tmpl w:val="E9C6E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BC2DB8"/>
    <w:multiLevelType w:val="multilevel"/>
    <w:tmpl w:val="72D6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051DBF"/>
    <w:multiLevelType w:val="multilevel"/>
    <w:tmpl w:val="AFA4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5B1802"/>
    <w:multiLevelType w:val="multilevel"/>
    <w:tmpl w:val="684C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185421"/>
    <w:multiLevelType w:val="multilevel"/>
    <w:tmpl w:val="6502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8A309F"/>
    <w:multiLevelType w:val="multilevel"/>
    <w:tmpl w:val="16B4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477A08"/>
    <w:multiLevelType w:val="multilevel"/>
    <w:tmpl w:val="C636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475418"/>
    <w:multiLevelType w:val="multilevel"/>
    <w:tmpl w:val="E37E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3E643C"/>
    <w:multiLevelType w:val="multilevel"/>
    <w:tmpl w:val="61FE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E2347F"/>
    <w:multiLevelType w:val="multilevel"/>
    <w:tmpl w:val="45E4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D941BE"/>
    <w:multiLevelType w:val="multilevel"/>
    <w:tmpl w:val="B5E6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E80197"/>
    <w:multiLevelType w:val="multilevel"/>
    <w:tmpl w:val="6144E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1240E3"/>
    <w:multiLevelType w:val="multilevel"/>
    <w:tmpl w:val="F27CF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8D0E8E"/>
    <w:multiLevelType w:val="multilevel"/>
    <w:tmpl w:val="39FA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B953EE"/>
    <w:multiLevelType w:val="multilevel"/>
    <w:tmpl w:val="4196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2C15F5"/>
    <w:multiLevelType w:val="multilevel"/>
    <w:tmpl w:val="05DC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4D3C46"/>
    <w:multiLevelType w:val="multilevel"/>
    <w:tmpl w:val="EFD6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0CB0485"/>
    <w:multiLevelType w:val="multilevel"/>
    <w:tmpl w:val="0F68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065046"/>
    <w:multiLevelType w:val="multilevel"/>
    <w:tmpl w:val="8F70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B15757"/>
    <w:multiLevelType w:val="multilevel"/>
    <w:tmpl w:val="EC44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B114F0"/>
    <w:multiLevelType w:val="multilevel"/>
    <w:tmpl w:val="DFF6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DC5466"/>
    <w:multiLevelType w:val="multilevel"/>
    <w:tmpl w:val="2AB4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8D508A"/>
    <w:multiLevelType w:val="multilevel"/>
    <w:tmpl w:val="0AA0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AD09C5"/>
    <w:multiLevelType w:val="multilevel"/>
    <w:tmpl w:val="EA68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8D1216"/>
    <w:multiLevelType w:val="multilevel"/>
    <w:tmpl w:val="05F6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1"/>
  </w:num>
  <w:num w:numId="3">
    <w:abstractNumId w:val="10"/>
  </w:num>
  <w:num w:numId="4">
    <w:abstractNumId w:val="0"/>
  </w:num>
  <w:num w:numId="5">
    <w:abstractNumId w:val="4"/>
  </w:num>
  <w:num w:numId="6">
    <w:abstractNumId w:val="37"/>
  </w:num>
  <w:num w:numId="7">
    <w:abstractNumId w:val="18"/>
  </w:num>
  <w:num w:numId="8">
    <w:abstractNumId w:val="39"/>
  </w:num>
  <w:num w:numId="9">
    <w:abstractNumId w:val="40"/>
  </w:num>
  <w:num w:numId="10">
    <w:abstractNumId w:val="5"/>
  </w:num>
  <w:num w:numId="11">
    <w:abstractNumId w:val="29"/>
  </w:num>
  <w:num w:numId="12">
    <w:abstractNumId w:val="2"/>
  </w:num>
  <w:num w:numId="13">
    <w:abstractNumId w:val="14"/>
  </w:num>
  <w:num w:numId="14">
    <w:abstractNumId w:val="36"/>
  </w:num>
  <w:num w:numId="15">
    <w:abstractNumId w:val="11"/>
  </w:num>
  <w:num w:numId="16">
    <w:abstractNumId w:val="21"/>
  </w:num>
  <w:num w:numId="17">
    <w:abstractNumId w:val="6"/>
  </w:num>
  <w:num w:numId="18">
    <w:abstractNumId w:val="41"/>
  </w:num>
  <w:num w:numId="19">
    <w:abstractNumId w:val="7"/>
  </w:num>
  <w:num w:numId="20">
    <w:abstractNumId w:val="16"/>
  </w:num>
  <w:num w:numId="21">
    <w:abstractNumId w:val="32"/>
  </w:num>
  <w:num w:numId="22">
    <w:abstractNumId w:val="20"/>
  </w:num>
  <w:num w:numId="23">
    <w:abstractNumId w:val="19"/>
  </w:num>
  <w:num w:numId="24">
    <w:abstractNumId w:val="28"/>
  </w:num>
  <w:num w:numId="25">
    <w:abstractNumId w:val="35"/>
  </w:num>
  <w:num w:numId="26">
    <w:abstractNumId w:val="17"/>
  </w:num>
  <w:num w:numId="27">
    <w:abstractNumId w:val="12"/>
  </w:num>
  <w:num w:numId="28">
    <w:abstractNumId w:val="34"/>
  </w:num>
  <w:num w:numId="29">
    <w:abstractNumId w:val="1"/>
  </w:num>
  <w:num w:numId="30">
    <w:abstractNumId w:val="26"/>
  </w:num>
  <w:num w:numId="31">
    <w:abstractNumId w:val="15"/>
  </w:num>
  <w:num w:numId="32">
    <w:abstractNumId w:val="23"/>
  </w:num>
  <w:num w:numId="33">
    <w:abstractNumId w:val="9"/>
  </w:num>
  <w:num w:numId="34">
    <w:abstractNumId w:val="22"/>
  </w:num>
  <w:num w:numId="35">
    <w:abstractNumId w:val="27"/>
  </w:num>
  <w:num w:numId="36">
    <w:abstractNumId w:val="24"/>
  </w:num>
  <w:num w:numId="37">
    <w:abstractNumId w:val="30"/>
  </w:num>
  <w:num w:numId="38">
    <w:abstractNumId w:val="38"/>
  </w:num>
  <w:num w:numId="39">
    <w:abstractNumId w:val="13"/>
  </w:num>
  <w:num w:numId="40">
    <w:abstractNumId w:val="3"/>
  </w:num>
  <w:num w:numId="41">
    <w:abstractNumId w:val="25"/>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footnotePr>
    <w:footnote w:id="0"/>
    <w:footnote w:id="1"/>
  </w:footnotePr>
  <w:endnotePr>
    <w:endnote w:id="0"/>
    <w:endnote w:id="1"/>
  </w:endnotePr>
  <w:compat>
    <w:useFELayout/>
  </w:compat>
  <w:rsids>
    <w:rsidRoot w:val="007954F8"/>
    <w:rsid w:val="001144C2"/>
    <w:rsid w:val="00317FB6"/>
    <w:rsid w:val="004C593B"/>
    <w:rsid w:val="00532255"/>
    <w:rsid w:val="00561C8F"/>
    <w:rsid w:val="00637A9F"/>
    <w:rsid w:val="0065690E"/>
    <w:rsid w:val="006B46D8"/>
    <w:rsid w:val="007954F8"/>
    <w:rsid w:val="008B29F2"/>
    <w:rsid w:val="00913928"/>
    <w:rsid w:val="00916DEC"/>
    <w:rsid w:val="00AA2FE2"/>
    <w:rsid w:val="00B00A9E"/>
    <w:rsid w:val="00BE6716"/>
    <w:rsid w:val="00D40A30"/>
    <w:rsid w:val="00F6131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Batang" w:hAnsiTheme="minorHAnsi" w:cstheme="minorBidi"/>
        <w:kern w:val="2"/>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4C2"/>
  </w:style>
  <w:style w:type="paragraph" w:styleId="1">
    <w:name w:val="heading 1"/>
    <w:basedOn w:val="a"/>
    <w:next w:val="a"/>
    <w:link w:val="1Char"/>
    <w:uiPriority w:val="9"/>
    <w:qFormat/>
    <w:rsid w:val="00637A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qFormat/>
    <w:rsid w:val="007954F8"/>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3">
    <w:name w:val="heading 3"/>
    <w:basedOn w:val="a"/>
    <w:link w:val="3Char"/>
    <w:uiPriority w:val="9"/>
    <w:qFormat/>
    <w:rsid w:val="007954F8"/>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7954F8"/>
    <w:rPr>
      <w:rFonts w:ascii="Times New Roman" w:eastAsia="Times New Roman" w:hAnsi="Times New Roman" w:cs="Times New Roman"/>
      <w:b/>
      <w:bCs/>
      <w:kern w:val="0"/>
      <w:sz w:val="36"/>
      <w:szCs w:val="36"/>
    </w:rPr>
  </w:style>
  <w:style w:type="character" w:customStyle="1" w:styleId="3Char">
    <w:name w:val="제목 3 Char"/>
    <w:basedOn w:val="a0"/>
    <w:link w:val="3"/>
    <w:uiPriority w:val="9"/>
    <w:rsid w:val="007954F8"/>
    <w:rPr>
      <w:rFonts w:ascii="Times New Roman" w:eastAsia="Times New Roman" w:hAnsi="Times New Roman" w:cs="Times New Roman"/>
      <w:b/>
      <w:bCs/>
      <w:kern w:val="0"/>
      <w:sz w:val="27"/>
      <w:szCs w:val="27"/>
    </w:rPr>
  </w:style>
  <w:style w:type="paragraph" w:styleId="a3">
    <w:name w:val="Normal (Web)"/>
    <w:basedOn w:val="a"/>
    <w:uiPriority w:val="99"/>
    <w:semiHidden/>
    <w:unhideWhenUsed/>
    <w:rsid w:val="007954F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4">
    <w:name w:val="Strong"/>
    <w:basedOn w:val="a0"/>
    <w:uiPriority w:val="22"/>
    <w:qFormat/>
    <w:rsid w:val="007954F8"/>
    <w:rPr>
      <w:b/>
      <w:bCs/>
    </w:rPr>
  </w:style>
  <w:style w:type="paragraph" w:styleId="a5">
    <w:name w:val="header"/>
    <w:basedOn w:val="a"/>
    <w:link w:val="Char"/>
    <w:uiPriority w:val="99"/>
    <w:semiHidden/>
    <w:unhideWhenUsed/>
    <w:rsid w:val="00913928"/>
    <w:pPr>
      <w:tabs>
        <w:tab w:val="center" w:pos="4680"/>
        <w:tab w:val="right" w:pos="9360"/>
      </w:tabs>
      <w:spacing w:after="0" w:line="240" w:lineRule="auto"/>
    </w:pPr>
  </w:style>
  <w:style w:type="character" w:customStyle="1" w:styleId="Char">
    <w:name w:val="머리글 Char"/>
    <w:basedOn w:val="a0"/>
    <w:link w:val="a5"/>
    <w:uiPriority w:val="99"/>
    <w:semiHidden/>
    <w:rsid w:val="00913928"/>
  </w:style>
  <w:style w:type="paragraph" w:styleId="a6">
    <w:name w:val="footer"/>
    <w:basedOn w:val="a"/>
    <w:link w:val="Char0"/>
    <w:uiPriority w:val="99"/>
    <w:semiHidden/>
    <w:unhideWhenUsed/>
    <w:rsid w:val="00913928"/>
    <w:pPr>
      <w:tabs>
        <w:tab w:val="center" w:pos="4680"/>
        <w:tab w:val="right" w:pos="9360"/>
      </w:tabs>
      <w:spacing w:after="0" w:line="240" w:lineRule="auto"/>
    </w:pPr>
  </w:style>
  <w:style w:type="character" w:customStyle="1" w:styleId="Char0">
    <w:name w:val="바닥글 Char"/>
    <w:basedOn w:val="a0"/>
    <w:link w:val="a6"/>
    <w:uiPriority w:val="99"/>
    <w:semiHidden/>
    <w:rsid w:val="00913928"/>
  </w:style>
  <w:style w:type="character" w:customStyle="1" w:styleId="1Char">
    <w:name w:val="제목 1 Char"/>
    <w:basedOn w:val="a0"/>
    <w:link w:val="1"/>
    <w:uiPriority w:val="9"/>
    <w:rsid w:val="00637A9F"/>
    <w:rPr>
      <w:rFonts w:asciiTheme="majorHAnsi" w:eastAsiaTheme="majorEastAsia" w:hAnsiTheme="majorHAnsi" w:cstheme="majorBidi"/>
      <w:color w:val="2F5496" w:themeColor="accent1" w:themeShade="BF"/>
      <w:sz w:val="32"/>
      <w:szCs w:val="32"/>
    </w:rPr>
  </w:style>
  <w:style w:type="character" w:styleId="a7">
    <w:name w:val="Hyperlink"/>
    <w:basedOn w:val="a0"/>
    <w:uiPriority w:val="99"/>
    <w:unhideWhenUsed/>
    <w:rsid w:val="00637A9F"/>
    <w:rPr>
      <w:color w:val="0563C1" w:themeColor="hyperlink"/>
      <w:u w:val="single"/>
    </w:rPr>
  </w:style>
  <w:style w:type="character" w:customStyle="1" w:styleId="UnresolvedMention">
    <w:name w:val="Unresolved Mention"/>
    <w:basedOn w:val="a0"/>
    <w:uiPriority w:val="99"/>
    <w:semiHidden/>
    <w:unhideWhenUsed/>
    <w:rsid w:val="00637A9F"/>
    <w:rPr>
      <w:color w:val="605E5C"/>
      <w:shd w:val="clear" w:color="auto" w:fill="E1DFDD"/>
    </w:rPr>
  </w:style>
  <w:style w:type="character" w:styleId="a8">
    <w:name w:val="Emphasis"/>
    <w:basedOn w:val="a0"/>
    <w:uiPriority w:val="20"/>
    <w:qFormat/>
    <w:rsid w:val="00317FB6"/>
    <w:rPr>
      <w:i/>
      <w:iCs/>
    </w:rPr>
  </w:style>
</w:styles>
</file>

<file path=word/webSettings.xml><?xml version="1.0" encoding="utf-8"?>
<w:webSettings xmlns:r="http://schemas.openxmlformats.org/officeDocument/2006/relationships" xmlns:w="http://schemas.openxmlformats.org/wordprocessingml/2006/main">
  <w:divs>
    <w:div w:id="233131324">
      <w:bodyDiv w:val="1"/>
      <w:marLeft w:val="0"/>
      <w:marRight w:val="0"/>
      <w:marTop w:val="0"/>
      <w:marBottom w:val="0"/>
      <w:divBdr>
        <w:top w:val="none" w:sz="0" w:space="0" w:color="auto"/>
        <w:left w:val="none" w:sz="0" w:space="0" w:color="auto"/>
        <w:bottom w:val="none" w:sz="0" w:space="0" w:color="auto"/>
        <w:right w:val="none" w:sz="0" w:space="0" w:color="auto"/>
      </w:divBdr>
    </w:div>
    <w:div w:id="362026111">
      <w:bodyDiv w:val="1"/>
      <w:marLeft w:val="0"/>
      <w:marRight w:val="0"/>
      <w:marTop w:val="0"/>
      <w:marBottom w:val="0"/>
      <w:divBdr>
        <w:top w:val="none" w:sz="0" w:space="0" w:color="auto"/>
        <w:left w:val="none" w:sz="0" w:space="0" w:color="auto"/>
        <w:bottom w:val="none" w:sz="0" w:space="0" w:color="auto"/>
        <w:right w:val="none" w:sz="0" w:space="0" w:color="auto"/>
      </w:divBdr>
      <w:divsChild>
        <w:div w:id="56320996">
          <w:marLeft w:val="0"/>
          <w:marRight w:val="0"/>
          <w:marTop w:val="0"/>
          <w:marBottom w:val="0"/>
          <w:divBdr>
            <w:top w:val="none" w:sz="0" w:space="0" w:color="auto"/>
            <w:left w:val="none" w:sz="0" w:space="0" w:color="auto"/>
            <w:bottom w:val="none" w:sz="0" w:space="0" w:color="auto"/>
            <w:right w:val="none" w:sz="0" w:space="0" w:color="auto"/>
          </w:divBdr>
          <w:divsChild>
            <w:div w:id="803620892">
              <w:marLeft w:val="0"/>
              <w:marRight w:val="0"/>
              <w:marTop w:val="0"/>
              <w:marBottom w:val="0"/>
              <w:divBdr>
                <w:top w:val="none" w:sz="0" w:space="0" w:color="auto"/>
                <w:left w:val="none" w:sz="0" w:space="0" w:color="auto"/>
                <w:bottom w:val="none" w:sz="0" w:space="0" w:color="auto"/>
                <w:right w:val="none" w:sz="0" w:space="0" w:color="auto"/>
              </w:divBdr>
            </w:div>
          </w:divsChild>
        </w:div>
        <w:div w:id="611132066">
          <w:marLeft w:val="0"/>
          <w:marRight w:val="0"/>
          <w:marTop w:val="0"/>
          <w:marBottom w:val="0"/>
          <w:divBdr>
            <w:top w:val="none" w:sz="0" w:space="0" w:color="auto"/>
            <w:left w:val="none" w:sz="0" w:space="0" w:color="auto"/>
            <w:bottom w:val="none" w:sz="0" w:space="0" w:color="auto"/>
            <w:right w:val="none" w:sz="0" w:space="0" w:color="auto"/>
          </w:divBdr>
          <w:divsChild>
            <w:div w:id="18818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9247">
      <w:bodyDiv w:val="1"/>
      <w:marLeft w:val="0"/>
      <w:marRight w:val="0"/>
      <w:marTop w:val="0"/>
      <w:marBottom w:val="0"/>
      <w:divBdr>
        <w:top w:val="none" w:sz="0" w:space="0" w:color="auto"/>
        <w:left w:val="none" w:sz="0" w:space="0" w:color="auto"/>
        <w:bottom w:val="none" w:sz="0" w:space="0" w:color="auto"/>
        <w:right w:val="none" w:sz="0" w:space="0" w:color="auto"/>
      </w:divBdr>
      <w:divsChild>
        <w:div w:id="1029182617">
          <w:marLeft w:val="0"/>
          <w:marRight w:val="0"/>
          <w:marTop w:val="0"/>
          <w:marBottom w:val="0"/>
          <w:divBdr>
            <w:top w:val="none" w:sz="0" w:space="0" w:color="auto"/>
            <w:left w:val="none" w:sz="0" w:space="0" w:color="auto"/>
            <w:bottom w:val="none" w:sz="0" w:space="0" w:color="auto"/>
            <w:right w:val="none" w:sz="0" w:space="0" w:color="auto"/>
          </w:divBdr>
          <w:divsChild>
            <w:div w:id="9378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87265">
      <w:bodyDiv w:val="1"/>
      <w:marLeft w:val="0"/>
      <w:marRight w:val="0"/>
      <w:marTop w:val="0"/>
      <w:marBottom w:val="0"/>
      <w:divBdr>
        <w:top w:val="none" w:sz="0" w:space="0" w:color="auto"/>
        <w:left w:val="none" w:sz="0" w:space="0" w:color="auto"/>
        <w:bottom w:val="none" w:sz="0" w:space="0" w:color="auto"/>
        <w:right w:val="none" w:sz="0" w:space="0" w:color="auto"/>
      </w:divBdr>
    </w:div>
    <w:div w:id="195625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2025-11-24T17:46:00Z</dcterms:created>
  <dcterms:modified xsi:type="dcterms:W3CDTF">2025-11-24T18:04:00Z</dcterms:modified>
</cp:coreProperties>
</file>